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28"/>
          <w:szCs w:val="28"/>
          <w:lang w:eastAsia="zh-CN"/>
        </w:rPr>
        <w:tab/>
      </w:r>
      <w:r>
        <w:rPr>
          <w:rFonts w:hint="eastAsia" w:ascii="宋体" w:hAnsi="宋体"/>
          <w:b/>
          <w:sz w:val="40"/>
          <w:szCs w:val="40"/>
        </w:rPr>
        <w:t>兴证期货-兴</w:t>
      </w:r>
      <w:r>
        <w:rPr>
          <w:rFonts w:hint="eastAsia" w:ascii="宋体" w:hAnsi="宋体"/>
          <w:b/>
          <w:sz w:val="40"/>
          <w:szCs w:val="40"/>
          <w:lang w:val="en-US" w:eastAsia="zh-Hans"/>
        </w:rPr>
        <w:t>珑厦担</w:t>
      </w:r>
      <w:r>
        <w:rPr>
          <w:rFonts w:hint="eastAsia" w:ascii="宋体" w:hAnsi="宋体"/>
          <w:b/>
          <w:sz w:val="40"/>
          <w:szCs w:val="40"/>
        </w:rPr>
        <w:t>FOF集合资产管理计划2023年年度报告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ascii="宋体" w:hAnsi="宋体"/>
          <w:b/>
          <w:sz w:val="28"/>
          <w:szCs w:val="28"/>
        </w:rPr>
      </w:pP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both"/>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兴证期货-兴珑厦担FOF集合资产管理计划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SXT925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2022年12月7日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hint="default" w:ascii="宋体" w:hAnsi="宋体" w:eastAsia="宋体"/>
                <w:lang w:val="en-US" w:eastAsia="zh-CN"/>
              </w:rPr>
            </w:pPr>
            <w:r>
              <w:rPr>
                <w:rFonts w:ascii="宋体" w:hAnsi="宋体"/>
              </w:rPr>
              <w:t>2,200</w:t>
            </w:r>
            <w:r>
              <w:rPr>
                <w:rFonts w:hint="eastAsia" w:ascii="宋体" w:hAnsi="宋体"/>
                <w:lang w:val="en-US" w:eastAsia="zh-CN"/>
              </w:rPr>
              <w:t>.00</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2027年12月</w:t>
            </w:r>
            <w:r>
              <w:rPr>
                <w:rFonts w:hint="default" w:ascii="宋体" w:hAnsi="宋体"/>
              </w:rPr>
              <w:t>6</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rPr>
              <w:t>在投资期限内，积极获取各种投资收益，在严格控制风险的前提下，谋求委托资产的稳定增值。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hint="eastAsia" w:ascii="宋体" w:hAnsi="宋体" w:eastAsia="宋体"/>
                <w:lang w:val="en-US" w:eastAsia="zh-Hans"/>
              </w:rPr>
            </w:pPr>
            <w:r>
              <w:rPr>
                <w:rFonts w:ascii="宋体" w:hAnsi="宋体"/>
              </w:rPr>
              <w:t>以定量和定性相结合的方式选择和组合子基金，通过多策略分散投资，在严格控制风险的情况下，实现FOF的稳健增值。从策略应呈现的风险收益特征出发，对子基金进行分类，然后根据既定目标进行FOF的资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hint="eastAsia" w:ascii="宋体" w:hAnsi="宋体" w:eastAsia="宋体"/>
                <w:lang w:eastAsia="zh-Hans"/>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ascii="宋体" w:hAnsi="宋体"/>
              </w:rPr>
              <w:t>R3中风险，适合专业投资者和风险承受能力为C3、C4和C5的普通投资者，并符合期货公司资产管理业务合格投资者相关标准。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ascii="宋体" w:hAnsi="宋体"/>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ascii="宋体" w:hAnsi="宋体"/>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hint="eastAsia" w:ascii="宋体" w:hAnsi="宋体"/>
                <w:szCs w:val="21"/>
                <w:lang w:val="en-US" w:eastAsia="zh-Hans"/>
              </w:rPr>
              <w:t>无</w:t>
            </w:r>
          </w:p>
        </w:tc>
        <w:tc>
          <w:tcPr>
            <w:tcW w:w="1666"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上海市黄浦区中山南路318号2号楼3层</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2022年</w:t>
            </w:r>
          </w:p>
        </w:tc>
        <w:tc>
          <w:tcPr>
            <w:tcW w:w="1101" w:type="pct"/>
            <w:vAlign w:val="center"/>
          </w:tcPr>
          <w:p>
            <w:pPr>
              <w:jc w:val="center"/>
              <w:rPr>
                <w:rFonts w:ascii="宋体" w:hAnsi="宋体"/>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187,315.16</w:t>
            </w:r>
          </w:p>
        </w:tc>
        <w:tc>
          <w:tcPr>
            <w:tcW w:w="1091" w:type="pct"/>
            <w:vAlign w:val="center"/>
          </w:tcPr>
          <w:p>
            <w:pPr>
              <w:jc w:val="right"/>
              <w:rPr>
                <w:rFonts w:ascii="宋体" w:hAnsi="宋体"/>
                <w:szCs w:val="21"/>
              </w:rPr>
            </w:pPr>
            <w:r>
              <w:rPr>
                <w:rFonts w:ascii="宋体" w:hAnsi="宋体"/>
                <w:szCs w:val="21"/>
              </w:rPr>
              <w:t>-4,400.11</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2,809.60</w:t>
            </w:r>
          </w:p>
        </w:tc>
        <w:tc>
          <w:tcPr>
            <w:tcW w:w="1091" w:type="pct"/>
            <w:vAlign w:val="center"/>
          </w:tcPr>
          <w:p>
            <w:pPr>
              <w:jc w:val="right"/>
              <w:rPr>
                <w:rFonts w:ascii="宋体" w:hAnsi="宋体"/>
                <w:szCs w:val="21"/>
              </w:rPr>
            </w:pPr>
            <w:r>
              <w:rPr>
                <w:rFonts w:ascii="宋体" w:hAnsi="宋体"/>
                <w:szCs w:val="21"/>
              </w:rPr>
              <w:t>231.86</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2022年末</w:t>
            </w:r>
          </w:p>
        </w:tc>
        <w:tc>
          <w:tcPr>
            <w:tcW w:w="1101" w:type="pct"/>
            <w:vAlign w:val="center"/>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3,041.46</w:t>
            </w:r>
          </w:p>
        </w:tc>
        <w:tc>
          <w:tcPr>
            <w:tcW w:w="1091" w:type="pct"/>
            <w:vAlign w:val="center"/>
          </w:tcPr>
          <w:p>
            <w:pPr>
              <w:jc w:val="right"/>
              <w:rPr>
                <w:rFonts w:ascii="宋体" w:hAnsi="宋体"/>
                <w:szCs w:val="21"/>
              </w:rPr>
            </w:pPr>
            <w:r>
              <w:rPr>
                <w:rFonts w:ascii="宋体" w:hAnsi="宋体"/>
                <w:szCs w:val="21"/>
              </w:rPr>
              <w:t>-4,400.11</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0.0001</w:t>
            </w:r>
          </w:p>
        </w:tc>
        <w:tc>
          <w:tcPr>
            <w:tcW w:w="1091" w:type="pct"/>
            <w:vAlign w:val="center"/>
          </w:tcPr>
          <w:p>
            <w:pPr>
              <w:jc w:val="right"/>
              <w:rPr>
                <w:rFonts w:ascii="宋体" w:hAnsi="宋体"/>
                <w:szCs w:val="21"/>
              </w:rPr>
            </w:pPr>
            <w:r>
              <w:rPr>
                <w:rFonts w:ascii="宋体" w:hAnsi="宋体"/>
                <w:szCs w:val="21"/>
              </w:rPr>
              <w:t>-0.0002</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22,003,041.46</w:t>
            </w:r>
          </w:p>
        </w:tc>
        <w:tc>
          <w:tcPr>
            <w:tcW w:w="1091" w:type="pct"/>
            <w:vAlign w:val="center"/>
          </w:tcPr>
          <w:p>
            <w:pPr>
              <w:jc w:val="right"/>
              <w:rPr>
                <w:rFonts w:ascii="宋体" w:hAnsi="宋体"/>
                <w:szCs w:val="21"/>
              </w:rPr>
            </w:pPr>
            <w:r>
              <w:rPr>
                <w:rFonts w:ascii="宋体" w:hAnsi="宋体"/>
                <w:szCs w:val="21"/>
              </w:rPr>
              <w:t>22,000,231.86</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1.0001</w:t>
            </w:r>
          </w:p>
        </w:tc>
        <w:tc>
          <w:tcPr>
            <w:tcW w:w="1091" w:type="pct"/>
            <w:vAlign w:val="center"/>
          </w:tcPr>
          <w:p>
            <w:pPr>
              <w:jc w:val="right"/>
              <w:rPr>
                <w:rFonts w:ascii="宋体" w:hAnsi="宋体"/>
                <w:szCs w:val="21"/>
              </w:rPr>
            </w:pPr>
            <w:r>
              <w:rPr>
                <w:rFonts w:ascii="宋体" w:hAnsi="宋体"/>
                <w:szCs w:val="21"/>
              </w:rPr>
              <w:t>1.0000</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2022年末</w:t>
            </w:r>
          </w:p>
        </w:tc>
        <w:tc>
          <w:tcPr>
            <w:tcW w:w="1101" w:type="pct"/>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0.01</w:t>
            </w:r>
          </w:p>
        </w:tc>
        <w:tc>
          <w:tcPr>
            <w:tcW w:w="1091" w:type="pct"/>
          </w:tcPr>
          <w:p>
            <w:pPr>
              <w:jc w:val="right"/>
              <w:rPr>
                <w:rFonts w:ascii="宋体" w:hAnsi="宋体"/>
                <w:szCs w:val="21"/>
              </w:rPr>
            </w:pPr>
            <w:r>
              <w:rPr>
                <w:rFonts w:ascii="宋体" w:hAnsi="宋体"/>
                <w:szCs w:val="21"/>
              </w:rPr>
              <w:t>0.00</w:t>
            </w:r>
          </w:p>
        </w:tc>
        <w:tc>
          <w:tcPr>
            <w:tcW w:w="1101" w:type="pct"/>
          </w:tcPr>
          <w:p>
            <w:pPr>
              <w:jc w:val="right"/>
              <w:rPr>
                <w:rFonts w:ascii="宋体" w:hAnsi="宋体"/>
                <w:szCs w:val="21"/>
              </w:rPr>
            </w:pPr>
            <w:r>
              <w:rPr>
                <w:rFonts w:ascii="宋体" w:hAnsi="宋体"/>
                <w:szCs w:val="21"/>
              </w:rPr>
              <w:t>-</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0.01</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0.01</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2,200</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w:t>
            </w:r>
            <w:r>
              <w:rPr>
                <w:rFonts w:ascii="宋体" w:hAnsi="宋体"/>
                <w:szCs w:val="21"/>
              </w:rPr>
              <w:t>1.00</w:t>
            </w:r>
            <w:r>
              <w:rPr>
                <w:rFonts w:hint="eastAsia" w:ascii="宋体" w:hAnsi="宋体"/>
                <w:szCs w:val="21"/>
                <w:lang w:val="en-US" w:eastAsia="zh-CN"/>
              </w:rPr>
              <w:t>01</w:t>
            </w:r>
            <w:r>
              <w:rPr>
                <w:rFonts w:hint="eastAsia" w:ascii="宋体" w:hAnsi="宋体"/>
                <w:szCs w:val="21"/>
              </w:rPr>
              <w:t>元，期末基金累计单位净值</w:t>
            </w:r>
            <w:r>
              <w:rPr>
                <w:rFonts w:ascii="宋体" w:hAnsi="宋体"/>
                <w:szCs w:val="21"/>
              </w:rPr>
              <w:t>1.00</w:t>
            </w:r>
            <w:r>
              <w:rPr>
                <w:rFonts w:hint="eastAsia" w:ascii="宋体" w:hAnsi="宋体"/>
                <w:szCs w:val="21"/>
                <w:lang w:val="en-US" w:eastAsia="zh-CN"/>
              </w:rPr>
              <w:t>01</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7"/>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rPr>
            </w:pPr>
            <w:r>
              <w:rPr>
                <w:rFonts w:hint="eastAsia" w:ascii="宋体" w:hAnsi="宋体"/>
                <w:szCs w:val="21"/>
              </w:rPr>
              <w:t>本报告期内</w:t>
            </w:r>
            <w:r>
              <w:rPr>
                <w:rFonts w:hint="eastAsia" w:ascii="宋体" w:hAnsi="宋体"/>
                <w:szCs w:val="21"/>
                <w:lang w:eastAsia="zh-CN"/>
              </w:rPr>
              <w:t>，</w:t>
            </w:r>
            <w:r>
              <w:rPr>
                <w:rFonts w:hint="eastAsia" w:ascii="宋体" w:hAnsi="宋体"/>
                <w:szCs w:val="21"/>
              </w:rPr>
              <w:t>本计划申请赎回子基金“兴证期货-兴瑞量化CTA2号集合资产管理计划”115万份份额</w:t>
            </w:r>
            <w:r>
              <w:rPr>
                <w:rFonts w:hint="eastAsia" w:ascii="宋体" w:hAnsi="宋体"/>
                <w:szCs w:val="21"/>
                <w:lang w:eastAsia="zh-CN"/>
              </w:rPr>
              <w:t>。</w:t>
            </w:r>
            <w:r>
              <w:rPr>
                <w:rFonts w:hint="eastAsia" w:ascii="宋体" w:hAnsi="宋体"/>
                <w:szCs w:val="21"/>
              </w:rPr>
              <w:t>本报告期内未进行利润分配、投资经理未变更、未发生损害投资者利益的事件及其他不符合法律法规的事项。公司将继续遵守相关法律法规要求，严格履行管理人职责。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8,653.90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54,705.67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2,378.71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700,000.00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21,327,033.37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21,954,631.97</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22,038,065.98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22,009,337.64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33,356.60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8,672.22</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833.96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216.78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833.96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216.78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35,024.52</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9,105.78</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22,000,000.00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22,000,000.00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3,041.46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231.86</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22,003,041.46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22,000,231.86</w:t>
            </w:r>
          </w:p>
        </w:tc>
      </w:tr>
      <w:tr>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22,038,065.98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22,009,337.64</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2022年12月7日 至 2022年12月31日</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141,872.18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9,337.64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1,353.66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4,705.67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439.95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4,705.67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913.71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272,212.32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272,212.32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-184,505.56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4,631.97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52,811.76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139,062.58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9,105.78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132,440.56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8,672.22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132,440.56</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8,672.22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3,311.01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216.78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3,311.01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216.78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2,809.60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231.86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2,809.60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231.86</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85"/>
        <w:gridCol w:w="2231"/>
        <w:gridCol w:w="1560"/>
        <w:gridCol w:w="1646"/>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231.86</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22,000,231.86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2,809.60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2,809.60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22,000,000.00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3,041.46</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22,003,041.46</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2022年12月7日 至 2022年12月31日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22,000,000.00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231.86</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231.86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22,000,000.00</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231.86</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22,000,231.86</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648" w:type="dxa"/>
        <w:tblInd w:w="-126" w:type="dxa"/>
        <w:tblLayout w:type="fixed"/>
        <w:tblCellMar>
          <w:top w:w="0" w:type="dxa"/>
          <w:left w:w="108" w:type="dxa"/>
          <w:bottom w:w="0" w:type="dxa"/>
          <w:right w:w="108" w:type="dxa"/>
        </w:tblCellMar>
      </w:tblPr>
      <w:tblGrid>
        <w:gridCol w:w="1724"/>
        <w:gridCol w:w="2581"/>
        <w:gridCol w:w="4343"/>
      </w:tblGrid>
      <w:tr>
        <w:tblPrEx>
          <w:tblCellMar>
            <w:top w:w="0" w:type="dxa"/>
            <w:left w:w="108" w:type="dxa"/>
            <w:bottom w:w="0" w:type="dxa"/>
            <w:right w:w="108" w:type="dxa"/>
          </w:tblCellMar>
        </w:tblPrEx>
        <w:trPr>
          <w:trHeight w:val="330" w:hRule="atLeast"/>
        </w:trPr>
        <w:tc>
          <w:tcPr>
            <w:tcW w:w="430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34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8,653.90</w:t>
            </w:r>
          </w:p>
        </w:tc>
      </w:tr>
      <w:tr>
        <w:tblPrEx>
          <w:tblCellMar>
            <w:top w:w="0" w:type="dxa"/>
            <w:left w:w="108" w:type="dxa"/>
            <w:bottom w:w="0" w:type="dxa"/>
            <w:right w:w="108" w:type="dxa"/>
          </w:tblCellMar>
        </w:tblPrEx>
        <w:trPr>
          <w:trHeight w:val="330" w:hRule="atLeast"/>
        </w:trPr>
        <w:tc>
          <w:tcPr>
            <w:tcW w:w="1724"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2,378.71</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w:t>
            </w:r>
            <w:r>
              <w:rPr>
                <w:rFonts w:hint="default" w:ascii="宋体" w:hAnsi="宋体"/>
                <w:szCs w:val="21"/>
              </w:rPr>
              <w:t>,</w:t>
            </w:r>
            <w:r>
              <w:rPr>
                <w:rFonts w:hint="eastAsia" w:ascii="宋体" w:hAnsi="宋体"/>
                <w:szCs w:val="21"/>
              </w:rPr>
              <w:t>327</w:t>
            </w:r>
            <w:r>
              <w:rPr>
                <w:rFonts w:hint="default" w:ascii="宋体" w:hAnsi="宋体"/>
                <w:szCs w:val="21"/>
              </w:rPr>
              <w:t>,</w:t>
            </w:r>
            <w:r>
              <w:rPr>
                <w:rFonts w:hint="eastAsia" w:ascii="宋体" w:hAnsi="宋体"/>
                <w:szCs w:val="21"/>
              </w:rPr>
              <w:t>033.37</w:t>
            </w:r>
          </w:p>
        </w:tc>
      </w:tr>
      <w:tr>
        <w:tblPrEx>
          <w:tblCellMar>
            <w:top w:w="0" w:type="dxa"/>
            <w:left w:w="108" w:type="dxa"/>
            <w:bottom w:w="0" w:type="dxa"/>
            <w:right w:w="108" w:type="dxa"/>
          </w:tblCellMar>
        </w:tblPrEx>
        <w:trPr>
          <w:trHeight w:val="544"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700</w:t>
            </w:r>
            <w:r>
              <w:rPr>
                <w:rFonts w:hint="default" w:ascii="宋体" w:hAnsi="宋体"/>
                <w:szCs w:val="21"/>
              </w:rPr>
              <w:t>,</w:t>
            </w:r>
            <w:r>
              <w:rPr>
                <w:rFonts w:hint="eastAsia" w:ascii="宋体" w:hAnsi="宋体"/>
                <w:szCs w:val="21"/>
              </w:rPr>
              <w:t>000.00;</w:t>
            </w:r>
          </w:p>
        </w:tc>
      </w:tr>
      <w:tr>
        <w:tblPrEx>
          <w:tblCellMar>
            <w:top w:w="0" w:type="dxa"/>
            <w:left w:w="108" w:type="dxa"/>
            <w:bottom w:w="0" w:type="dxa"/>
            <w:right w:w="108" w:type="dxa"/>
          </w:tblCellMar>
        </w:tblPrEx>
        <w:trPr>
          <w:trHeight w:val="330" w:hRule="atLeast"/>
        </w:trPr>
        <w:tc>
          <w:tcPr>
            <w:tcW w:w="1724"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8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343"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17FD6593"/>
    <w:rsid w:val="1F0A14C5"/>
    <w:rsid w:val="26B441B9"/>
    <w:rsid w:val="38634753"/>
    <w:rsid w:val="66FFFD6E"/>
    <w:rsid w:val="6BEBB51F"/>
    <w:rsid w:val="6D971DA4"/>
    <w:rsid w:val="6DB78C1F"/>
    <w:rsid w:val="ACFD5193"/>
    <w:rsid w:val="DF96833F"/>
    <w:rsid w:val="DFBBF638"/>
    <w:rsid w:val="FFBED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semiHidden/>
    <w:unhideWhenUsed/>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qFormat/>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4</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2024-03-01T01:45:00Z</dcterms:created>
  <dc:creator>wfy</dc:creator>
  <cp:lastModifiedBy>孙雯</cp:lastModifiedBy>
  <dcterms:modified xsi:type="dcterms:W3CDTF">2024-03-15T08:02:56Z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42C7E375DE93FECD0CE8DF65378BC5D7_42</vt:lpwstr>
  </property>
</Properties>
</file>