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cs="Times New Roman"/>
          <w:b/>
          <w:sz w:val="40"/>
          <w:szCs w:val="40"/>
        </w:rPr>
      </w:pPr>
    </w:p>
    <w:p>
      <w:pPr>
        <w:jc w:val="center"/>
        <w:rPr>
          <w:rFonts w:hint="eastAsia" w:ascii="宋体" w:hAnsi="宋体"/>
          <w:b/>
          <w:sz w:val="40"/>
          <w:szCs w:val="40"/>
        </w:rPr>
      </w:pPr>
      <w:r>
        <w:rPr>
          <w:rFonts w:hint="eastAsia" w:ascii="宋体" w:hAnsi="宋体"/>
          <w:b/>
          <w:sz w:val="40"/>
          <w:szCs w:val="40"/>
        </w:rPr>
        <w:t>兴证期货-兴瑞量化CTA2号集合资产管理计划2023年年度报告</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both"/>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兴证期货-兴瑞量化CTA2号集合资产管理计划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STQ184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2022年1月2</w:t>
            </w:r>
            <w:r>
              <w:rPr>
                <w:rFonts w:hint="eastAsia" w:ascii="宋体" w:hAnsi="宋体"/>
                <w:lang w:val="en-US" w:eastAsia="zh-CN"/>
              </w:rPr>
              <w:t>8</w:t>
            </w:r>
            <w:r>
              <w:rPr>
                <w:rFonts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hint="eastAsia" w:ascii="宋体" w:hAnsi="宋体" w:eastAsia="宋体"/>
                <w:lang w:eastAsia="zh-CN"/>
              </w:rPr>
            </w:pPr>
            <w:r>
              <w:rPr>
                <w:rFonts w:hint="eastAsia" w:ascii="宋体"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rPr>
            </w:pPr>
            <w:r>
              <w:rPr>
                <w:rFonts w:ascii="宋体" w:hAnsi="宋体"/>
              </w:rPr>
              <w:t>1,451.5</w:t>
            </w:r>
            <w:r>
              <w:rPr>
                <w:rFonts w:hint="eastAsia" w:ascii="宋体" w:hAnsi="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2028年1月27日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hint="eastAsia"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hint="eastAsia" w:ascii="宋体" w:hAnsi="宋体"/>
                <w:szCs w:val="21"/>
              </w:rPr>
              <w:t>本资产管理计划以多策略、多品种、多周期的CTA策略为主，通过多策略分散投资。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ascii="宋体" w:hAnsi="宋体"/>
              </w:rPr>
            </w:pPr>
            <w:r>
              <w:rPr>
                <w:rFonts w:ascii="宋体" w:hAnsi="宋体"/>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hint="eastAsia" w:ascii="宋体" w:hAnsi="宋体"/>
                <w:szCs w:val="21"/>
              </w:rPr>
              <w:t>R4中高风险，适合专业投资者和风险承受能力为C4、C5的普通投资者，并符合期货公司资产管理业务合格投资者相关标准。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hint="eastAsia" w:ascii="宋体" w:hAnsi="宋体" w:eastAsia="宋体"/>
                <w:lang w:eastAsia="zh-CN"/>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spacing w:line="348" w:lineRule="auto"/>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ascii="宋体" w:hAnsi="宋体"/>
                <w:szCs w:val="21"/>
              </w:rPr>
              <w:t>-</w:t>
            </w:r>
          </w:p>
        </w:tc>
        <w:tc>
          <w:tcPr>
            <w:tcW w:w="1666" w:type="pct"/>
          </w:tcPr>
          <w:p>
            <w:pP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-390,783.44</w:t>
            </w:r>
          </w:p>
        </w:tc>
        <w:tc>
          <w:tcPr>
            <w:tcW w:w="1091" w:type="pct"/>
            <w:vAlign w:val="center"/>
          </w:tcPr>
          <w:p>
            <w:pPr>
              <w:jc w:val="right"/>
              <w:rPr>
                <w:rFonts w:ascii="宋体" w:hAnsi="宋体"/>
                <w:szCs w:val="21"/>
              </w:rPr>
            </w:pPr>
            <w:r>
              <w:rPr>
                <w:rFonts w:ascii="宋体" w:hAnsi="宋体"/>
                <w:szCs w:val="21"/>
              </w:rPr>
              <w:t>-2,226,803.16</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-533,225.38</w:t>
            </w:r>
          </w:p>
        </w:tc>
        <w:tc>
          <w:tcPr>
            <w:tcW w:w="1091" w:type="pct"/>
            <w:vAlign w:val="center"/>
          </w:tcPr>
          <w:p>
            <w:pPr>
              <w:jc w:val="right"/>
              <w:rPr>
                <w:rFonts w:ascii="宋体" w:hAnsi="宋体"/>
                <w:szCs w:val="21"/>
              </w:rPr>
            </w:pPr>
            <w:r>
              <w:rPr>
                <w:rFonts w:ascii="宋体" w:hAnsi="宋体"/>
                <w:szCs w:val="21"/>
              </w:rPr>
              <w:t>-1,930,988.96</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-1,764,629.15</w:t>
            </w:r>
          </w:p>
        </w:tc>
        <w:tc>
          <w:tcPr>
            <w:tcW w:w="1091" w:type="pct"/>
            <w:vAlign w:val="center"/>
          </w:tcPr>
          <w:p>
            <w:pPr>
              <w:jc w:val="right"/>
              <w:rPr>
                <w:rFonts w:ascii="宋体" w:hAnsi="宋体"/>
                <w:szCs w:val="21"/>
              </w:rPr>
            </w:pPr>
            <w:r>
              <w:rPr>
                <w:rFonts w:ascii="宋体" w:hAnsi="宋体"/>
                <w:szCs w:val="21"/>
              </w:rPr>
              <w:t>-3,425,755.10</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-0.1216</w:t>
            </w:r>
          </w:p>
        </w:tc>
        <w:tc>
          <w:tcPr>
            <w:tcW w:w="1091" w:type="pct"/>
            <w:vAlign w:val="center"/>
          </w:tcPr>
          <w:p>
            <w:pPr>
              <w:jc w:val="right"/>
              <w:rPr>
                <w:rFonts w:ascii="宋体" w:hAnsi="宋体"/>
                <w:szCs w:val="21"/>
              </w:rPr>
            </w:pPr>
            <w:r>
              <w:rPr>
                <w:rFonts w:ascii="宋体" w:hAnsi="宋体"/>
                <w:szCs w:val="21"/>
              </w:rPr>
              <w:t>-0.1069</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12,967,137.83</w:t>
            </w:r>
          </w:p>
        </w:tc>
        <w:tc>
          <w:tcPr>
            <w:tcW w:w="1091" w:type="pct"/>
            <w:vAlign w:val="center"/>
          </w:tcPr>
          <w:p>
            <w:pPr>
              <w:jc w:val="right"/>
              <w:rPr>
                <w:rFonts w:ascii="宋体" w:hAnsi="宋体"/>
                <w:szCs w:val="21"/>
              </w:rPr>
            </w:pPr>
            <w:r>
              <w:rPr>
                <w:rFonts w:ascii="宋体" w:hAnsi="宋体"/>
                <w:szCs w:val="21"/>
              </w:rPr>
              <w:t>29,242,137.78</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0.8934</w:t>
            </w:r>
          </w:p>
        </w:tc>
        <w:tc>
          <w:tcPr>
            <w:tcW w:w="1091" w:type="pct"/>
            <w:vAlign w:val="center"/>
          </w:tcPr>
          <w:p>
            <w:pPr>
              <w:jc w:val="right"/>
              <w:rPr>
                <w:rFonts w:ascii="宋体" w:hAnsi="宋体"/>
                <w:szCs w:val="21"/>
              </w:rPr>
            </w:pPr>
            <w:r>
              <w:rPr>
                <w:rFonts w:ascii="宋体" w:hAnsi="宋体"/>
                <w:szCs w:val="21"/>
              </w:rPr>
              <w:t>0.9123</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-10.66</w:t>
            </w:r>
          </w:p>
        </w:tc>
        <w:tc>
          <w:tcPr>
            <w:tcW w:w="1091" w:type="pct"/>
          </w:tcPr>
          <w:p>
            <w:pPr>
              <w:jc w:val="right"/>
              <w:rPr>
                <w:rFonts w:ascii="宋体" w:hAnsi="宋体"/>
                <w:szCs w:val="21"/>
              </w:rPr>
            </w:pPr>
            <w:r>
              <w:rPr>
                <w:rFonts w:ascii="宋体" w:hAnsi="宋体"/>
                <w:szCs w:val="21"/>
              </w:rPr>
              <w:t>-8.77</w:t>
            </w:r>
          </w:p>
        </w:tc>
        <w:tc>
          <w:tcPr>
            <w:tcW w:w="1101" w:type="pct"/>
          </w:tcPr>
          <w:p>
            <w:pPr>
              <w:jc w:val="right"/>
              <w:rPr>
                <w:rFonts w:ascii="宋体" w:hAnsi="宋体"/>
                <w:szCs w:val="21"/>
              </w:rPr>
            </w:pPr>
            <w:r>
              <w:rPr>
                <w:rFonts w:ascii="宋体" w:hAnsi="宋体"/>
                <w:szCs w:val="21"/>
              </w:rPr>
              <w:t>-</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-2.07</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-10.66</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3,205.386891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55.691691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1,809.561344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1,451.517238</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hint="eastAsia"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rPr>
                <w:rFonts w:hint="eastAsia" w:ascii="宋体" w:hAnsi="宋体"/>
                <w:szCs w:val="21"/>
              </w:rPr>
            </w:pPr>
            <w:r>
              <w:rPr>
                <w:rFonts w:hint="eastAsia" w:ascii="宋体" w:hAnsi="宋体"/>
                <w:szCs w:val="21"/>
              </w:rPr>
              <w:t xml:space="preserve">    本计划投资决策依据：本资产管理计划以多策略、多品种、多周期的CTA策略为主，通过多策略分散投资。截止2023年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日本基金期末基金单位净值为0.</w:t>
            </w:r>
            <w:r>
              <w:rPr>
                <w:rFonts w:hint="eastAsia" w:ascii="宋体" w:hAnsi="宋体"/>
                <w:szCs w:val="21"/>
                <w:lang w:val="en-US" w:eastAsia="zh-CN"/>
              </w:rPr>
              <w:t>8934</w:t>
            </w:r>
            <w:r>
              <w:rPr>
                <w:rFonts w:hint="eastAsia" w:ascii="宋体" w:hAnsi="宋体"/>
                <w:szCs w:val="21"/>
              </w:rPr>
              <w:t>元，期末基金累计单位净值0.</w:t>
            </w:r>
            <w:r>
              <w:rPr>
                <w:rFonts w:hint="eastAsia" w:ascii="宋体" w:hAnsi="宋体"/>
                <w:szCs w:val="21"/>
                <w:lang w:val="en-US" w:eastAsia="zh-CN"/>
              </w:rPr>
              <w:t>8934</w:t>
            </w:r>
            <w:r>
              <w:rPr>
                <w:rFonts w:hint="eastAsia" w:ascii="宋体" w:hAnsi="宋体"/>
                <w:szCs w:val="21"/>
              </w:rPr>
              <w:t>元。</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本计划投资经理为廉正，期货从业资格编码：F3054039，本计划本报告期内未发生变更。</w:t>
            </w:r>
          </w:p>
          <w:p>
            <w:pPr>
              <w:rPr>
                <w:rFonts w:hint="eastAsia" w:ascii="宋体" w:hAnsi="宋体"/>
                <w:szCs w:val="21"/>
              </w:rPr>
            </w:pPr>
            <w:r>
              <w:rPr>
                <w:rFonts w:hint="eastAsia" w:ascii="宋体" w:hAnsi="宋体"/>
                <w:szCs w:val="21"/>
              </w:rPr>
              <w:t xml:space="preserve">    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rPr>
                <w:rFonts w:hint="eastAsia" w:ascii="宋体" w:hAnsi="宋体"/>
                <w:szCs w:val="21"/>
              </w:rPr>
            </w:pPr>
            <w:r>
              <w:rPr>
                <w:rFonts w:hint="eastAsia" w:ascii="宋体" w:hAnsi="宋体"/>
                <w:szCs w:val="21"/>
              </w:rPr>
              <w:t xml:space="preserve">    本计划投资经理符合法律法规规定的以下条件：</w:t>
            </w:r>
          </w:p>
          <w:p>
            <w:pPr>
              <w:rPr>
                <w:rFonts w:hint="eastAsia" w:ascii="宋体" w:hAnsi="宋体"/>
                <w:szCs w:val="21"/>
              </w:rPr>
            </w:pPr>
            <w:r>
              <w:rPr>
                <w:rFonts w:hint="eastAsia" w:ascii="宋体" w:hAnsi="宋体"/>
                <w:szCs w:val="21"/>
              </w:rPr>
              <w:t xml:space="preserve">   （1）已取得从业资格；</w:t>
            </w:r>
          </w:p>
          <w:p>
            <w:pPr>
              <w:rPr>
                <w:rFonts w:hint="eastAsia" w:ascii="宋体" w:hAnsi="宋体"/>
                <w:szCs w:val="21"/>
              </w:rPr>
            </w:pPr>
            <w:r>
              <w:rPr>
                <w:rFonts w:hint="eastAsia" w:ascii="宋体" w:hAnsi="宋体"/>
                <w:szCs w:val="21"/>
              </w:rPr>
              <w:t xml:space="preserve">   （2）具有3年以上投资管理、投资研究、投资咨询等相关业务经验；</w:t>
            </w:r>
          </w:p>
          <w:p>
            <w:pPr>
              <w:rPr>
                <w:rFonts w:hint="eastAsia" w:ascii="宋体" w:hAnsi="宋体"/>
                <w:szCs w:val="21"/>
              </w:rPr>
            </w:pPr>
            <w:r>
              <w:rPr>
                <w:rFonts w:hint="eastAsia" w:ascii="宋体" w:hAnsi="宋体"/>
                <w:szCs w:val="21"/>
              </w:rPr>
              <w:t xml:space="preserve">   （3）具有良好的诚信记录及职业操守，且最近3年未被监管机构采取重大行政监管措施、行政处罚。</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hint="eastAsia" w:ascii="宋体" w:hAnsi="宋体"/>
                <w:szCs w:val="21"/>
              </w:rPr>
            </w:pPr>
            <w:r>
              <w:rPr>
                <w:rFonts w:hint="eastAsia" w:ascii="宋体" w:hAnsi="宋体"/>
                <w:szCs w:val="21"/>
              </w:rPr>
              <w:t xml:space="preserve">    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rPr>
                <w:rFonts w:hint="eastAsia" w:ascii="宋体" w:hAnsi="宋体"/>
                <w:szCs w:val="21"/>
              </w:rPr>
            </w:pPr>
            <w:r>
              <w:rPr>
                <w:rFonts w:hint="eastAsia" w:ascii="宋体" w:hAnsi="宋体"/>
                <w:szCs w:val="21"/>
              </w:rPr>
              <w:t xml:space="preserve">    公司在资产管理业务经营过程中，将严格遵守以下管理人的职责：</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lang w:eastAsia="zh-CN"/>
              </w:rPr>
              <w:t>（</w:t>
            </w:r>
            <w:r>
              <w:rPr>
                <w:rFonts w:hint="eastAsia"/>
                <w:lang w:val="en-US" w:eastAsia="zh-CN"/>
              </w:rPr>
              <w:t>4</w:t>
            </w:r>
            <w:r>
              <w:rPr>
                <w:rFonts w:hint="eastAsia"/>
                <w:lang w:eastAsia="zh-CN"/>
              </w:rPr>
              <w:t>）</w:t>
            </w:r>
            <w:r>
              <w:rPr>
                <w:rFonts w:hint="eastAsia" w:ascii="Times New Roman" w:hAnsi="Times New Roman"/>
              </w:rPr>
              <w:t>进行资产管理计划会计核算并编制资产管理计划财务会计报告</w:t>
            </w:r>
            <w:r>
              <w:rPr>
                <w:rFonts w:hint="eastAsia" w:ascii="Times New Roman" w:hAnsi="Times New Roman"/>
                <w:lang w:eastAsia="zh-CN"/>
              </w:rPr>
              <w:t>；</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rPr>
              <w:t>保证向投资者支付的受托资金及收益返回其参与资产管理计划时使用的结算账户或其同名账户；</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hint="eastAsia" w:ascii="宋体" w:hAnsi="宋体"/>
                <w:szCs w:val="21"/>
              </w:rPr>
            </w:pPr>
            <w:r>
              <w:rPr>
                <w:rFonts w:hint="eastAsia" w:ascii="宋体" w:hAnsi="宋体"/>
                <w:szCs w:val="21"/>
              </w:rPr>
              <w:t>兴证期货有限公司</w:t>
            </w:r>
          </w:p>
          <w:p>
            <w:pPr>
              <w:ind w:firstLine="420" w:firstLineChars="200"/>
              <w:rPr>
                <w:rFonts w:hint="eastAsia"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szCs w:val="21"/>
              </w:rPr>
            </w:pPr>
            <w:r>
              <w:rPr>
                <w:rFonts w:hint="eastAsia" w:ascii="宋体" w:hAnsi="宋体"/>
                <w:szCs w:val="21"/>
              </w:rPr>
              <w:t>服务电话：021-2037095</w:t>
            </w:r>
            <w:r>
              <w:rPr>
                <w:rFonts w:hint="eastAsia" w:ascii="宋体" w:hAnsi="宋体"/>
                <w:szCs w:val="21"/>
                <w:lang w:val="en-US" w:eastAsia="zh-CN"/>
              </w:rPr>
              <w:t>2</w:t>
            </w:r>
          </w:p>
          <w:p>
            <w:pPr>
              <w:ind w:firstLine="420" w:firstLineChars="200"/>
              <w:rPr>
                <w:rFonts w:hint="eastAsia" w:ascii="宋体" w:hAnsi="宋体"/>
                <w:szCs w:val="21"/>
              </w:rPr>
            </w:pPr>
            <w:r>
              <w:rPr>
                <w:rFonts w:hint="eastAsia" w:ascii="宋体" w:hAnsi="宋体"/>
                <w:szCs w:val="21"/>
              </w:rPr>
              <w:t>E-MAIL：</w:t>
            </w:r>
            <w:r>
              <w:rPr>
                <w:rFonts w:hint="eastAsia" w:ascii="宋体" w:hAnsi="宋体"/>
                <w:szCs w:val="21"/>
                <w:lang w:val="en-US" w:eastAsia="zh-CN"/>
              </w:rPr>
              <w:t>sunwen</w:t>
            </w:r>
            <w:bookmarkStart w:id="6" w:name="_GoBack"/>
            <w:bookmarkEnd w:id="6"/>
            <w:r>
              <w:rPr>
                <w:rFonts w:hint="eastAsia" w:ascii="宋体" w:hAnsi="宋体"/>
                <w:szCs w:val="21"/>
              </w:rPr>
              <w:t>@xzfutures.com</w:t>
            </w:r>
          </w:p>
          <w:p>
            <w:pPr>
              <w:ind w:firstLine="420" w:firstLineChars="200"/>
              <w:rPr>
                <w:rFonts w:hint="eastAsia" w:ascii="宋体" w:hAnsi="宋体"/>
                <w:szCs w:val="21"/>
              </w:rPr>
            </w:pPr>
            <w:r>
              <w:rPr>
                <w:rFonts w:hint="eastAsia" w:ascii="宋体" w:hAnsi="宋体"/>
                <w:szCs w:val="21"/>
              </w:rPr>
              <w:t>投资者对本报告书如有任何疑问，可以咨询管理人兴证期货有限公司。</w:t>
            </w:r>
          </w:p>
          <w:p>
            <w:pPr>
              <w:rPr>
                <w:rFonts w:hint="eastAsia" w:ascii="宋体" w:hAnsi="宋体"/>
                <w:szCs w:val="21"/>
                <w:lang w:val="en-US" w:eastAsia="zh-CN"/>
              </w:rPr>
            </w:pPr>
            <w:r>
              <w:rPr>
                <w:rFonts w:hint="eastAsia" w:ascii="宋体" w:hAnsi="宋体"/>
                <w:szCs w:val="21"/>
                <w:lang w:val="en-US" w:eastAsia="zh-CN"/>
              </w:rPr>
              <w:t>4</w:t>
            </w:r>
            <w:r>
              <w:rPr>
                <w:rFonts w:hint="eastAsia" w:ascii="宋体" w:hAnsi="宋体"/>
                <w:szCs w:val="21"/>
              </w:rPr>
              <w:t>.6 报告期内其他说明情况</w:t>
            </w:r>
          </w:p>
          <w:p>
            <w:pPr>
              <w:ind w:firstLine="420" w:firstLineChars="200"/>
              <w:rPr>
                <w:rFonts w:ascii="宋体" w:hAnsi="宋体"/>
              </w:rPr>
            </w:pPr>
            <w:r>
              <w:rPr>
                <w:rFonts w:hint="eastAsia" w:ascii="宋体" w:hAnsi="宋体"/>
                <w:szCs w:val="21"/>
              </w:rPr>
              <w:t>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15,745.63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95,263.48</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8,368,827.18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23,652,005.70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1,558,069.70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2,564,466.10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3,064,401.40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3,000,000.00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3,064,401.40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3,000,000.00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270.90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13,007,043.91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29,312,006.18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38,030.60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66,662.66</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937.74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1,602.87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937.74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1,602.87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39,906.08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69,868.40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14,515,172.38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32,053,868.91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-1,548,034.55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-2,811,731.13</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12,967,137.83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29,242,137.78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13,007,043.91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29,312,006.18</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2022年1月27日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-250,477.59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-1,636,546.97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308,991.91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21,637.76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2,966.89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21,637.76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306,025.02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-417,027.56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-1,953,493.30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-481,158.06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-1,953,764.20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64,130.50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270.90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-142,441.94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295,814.20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-505.63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282,747.79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294,441.99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197,977.77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188,132.24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197,457.05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185,582.24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520.72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2,550.00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4,936.47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4,639.72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4,936.47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4,639.72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70,397.08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96,969.64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4,500.00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60.67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-533,225.38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-1,930,988.96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-533,225.38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-1,930,988.96</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54"/>
        <w:gridCol w:w="2200"/>
        <w:gridCol w:w="1581"/>
        <w:gridCol w:w="1687"/>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32,053,868.91</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-2,811,731.13</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29,242,137.78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-533,225.38</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-533,225.38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-17,538,696.53</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1,796,921.96</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-15,741,774.57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556,916.91</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-56,916.91</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-18,095,613.44</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1,853,838.87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-16,241,774.57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14,515,172.38</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-1,548,034.55</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12,967,137.83</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2022年1月27日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11,600,271.67</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11,600,271.67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-1,930,988.96</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-1,930,988.96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20,453,597.24</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-880,742.17</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19,572,855.07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24,053,277.40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-1,003,277.40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23,050,000.00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-3,599,680.16</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122,535.23</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-3,477,144.93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32,053,868.91</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-2,811,731.13</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29,242,137.78</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217" w:type="dxa"/>
        <w:tblInd w:w="113" w:type="dxa"/>
        <w:tblLayout w:type="autofit"/>
        <w:tblCellMar>
          <w:top w:w="0" w:type="dxa"/>
          <w:left w:w="108" w:type="dxa"/>
          <w:bottom w:w="0" w:type="dxa"/>
          <w:right w:w="108" w:type="dxa"/>
        </w:tblCellMar>
      </w:tblPr>
      <w:tblGrid>
        <w:gridCol w:w="1696"/>
        <w:gridCol w:w="2410"/>
        <w:gridCol w:w="4111"/>
      </w:tblGrid>
      <w:tr>
        <w:tblPrEx>
          <w:tblCellMar>
            <w:top w:w="0" w:type="dxa"/>
            <w:left w:w="108" w:type="dxa"/>
            <w:bottom w:w="0" w:type="dxa"/>
            <w:right w:w="108" w:type="dxa"/>
          </w:tblCellMar>
        </w:tblPrEx>
        <w:trPr>
          <w:trHeight w:val="330" w:hRule="atLeast"/>
        </w:trPr>
        <w:tc>
          <w:tcPr>
            <w:tcW w:w="41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1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15,745.63</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8,368,827.18</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1,558,069.70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3,064,401.40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3,064,401.40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1,558,069.70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WNkYmMyNjI2OTM0Zjg5NDdkZGUwNWY3OWVmNjQifQ=="/>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17FD6593"/>
    <w:rsid w:val="18752DDA"/>
    <w:rsid w:val="19605580"/>
    <w:rsid w:val="217E28FF"/>
    <w:rsid w:val="253B1287"/>
    <w:rsid w:val="26B441B9"/>
    <w:rsid w:val="289265C4"/>
    <w:rsid w:val="31301E9E"/>
    <w:rsid w:val="3C6D64C6"/>
    <w:rsid w:val="48992198"/>
    <w:rsid w:val="4948397C"/>
    <w:rsid w:val="4A410CD8"/>
    <w:rsid w:val="4CC04578"/>
    <w:rsid w:val="4E3C5850"/>
    <w:rsid w:val="4EA60DDC"/>
    <w:rsid w:val="6A6D5D2E"/>
    <w:rsid w:val="71C773A5"/>
    <w:rsid w:val="73D4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72</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2024-02-29T03:17:00Z</dcterms:created>
  <dc:creator>wfy</dc:creator>
  <cp:lastModifiedBy>孙雯</cp:lastModifiedBy>
  <dcterms:modified xsi:type="dcterms:W3CDTF">2024-03-25T03:14:02Z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7261A5CCF3E4431C8C0BF7E098837B47_12</vt:lpwstr>
  </property>
</Properties>
</file>