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both"/>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28"/>
          <w:szCs w:val="28"/>
          <w:lang w:eastAsia="zh-CN"/>
        </w:rPr>
        <w:tab/>
      </w:r>
    </w:p>
    <w:p>
      <w:pPr>
        <w:spacing w:line="480" w:lineRule="auto"/>
        <w:jc w:val="center"/>
        <w:rPr>
          <w:rFonts w:hint="eastAsia" w:ascii="宋体" w:hAnsi="宋体" w:eastAsia="宋体"/>
          <w:b/>
          <w:sz w:val="40"/>
          <w:szCs w:val="40"/>
          <w:lang w:eastAsia="zh-CN"/>
        </w:rPr>
      </w:pPr>
      <w:r>
        <w:rPr>
          <w:rFonts w:hint="eastAsia" w:ascii="宋体" w:hAnsi="宋体"/>
          <w:b/>
          <w:sz w:val="40"/>
          <w:szCs w:val="40"/>
        </w:rPr>
        <w:t>兴证期货-兴享多空价值1号集合资产管理计划2023年年度报告</w: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default" w:ascii="宋体" w:hAnsi="宋体" w:eastAsia="宋体"/>
          <w:b/>
          <w:sz w:val="28"/>
          <w:szCs w:val="28"/>
          <w:lang w:val="en-US" w:eastAsia="zh-CN"/>
        </w:rPr>
      </w:pPr>
    </w:p>
    <w:p>
      <w:pPr>
        <w:jc w:val="center"/>
        <w:rPr>
          <w:rFonts w:hint="default" w:ascii="宋体" w:hAnsi="宋体" w:eastAsia="宋体"/>
          <w:b/>
          <w:sz w:val="28"/>
          <w:szCs w:val="28"/>
          <w:lang w:val="en-US" w:eastAsia="zh-CN"/>
        </w:rPr>
      </w:pPr>
    </w:p>
    <w:p>
      <w:pPr>
        <w:jc w:val="center"/>
        <w:rPr>
          <w:rFonts w:hint="default" w:ascii="宋体" w:hAnsi="宋体" w:eastAsia="宋体"/>
          <w:b/>
          <w:sz w:val="28"/>
          <w:szCs w:val="28"/>
          <w:lang w:val="en-US" w:eastAsia="zh-CN"/>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兴证期货-兴享多空价值1号集合资产管理计划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SSR417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rPr>
            </w:pPr>
            <w:r>
              <w:rPr>
                <w:rFonts w:ascii="宋体" w:hAnsi="宋体"/>
              </w:rPr>
              <w:t>中庚基金管理有限公司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rPr>
            </w:pPr>
            <w:r>
              <w:rPr>
                <w:rFonts w:ascii="宋体" w:hAnsi="宋体"/>
              </w:rPr>
              <w:t>8,750.25</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2031年10月1</w:t>
            </w:r>
            <w:r>
              <w:rPr>
                <w:rFonts w:hint="eastAsia" w:ascii="宋体" w:hAnsi="宋体"/>
                <w:lang w:val="en-US" w:eastAsia="zh-CN"/>
              </w:rPr>
              <w:t>1</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8" w:type="pct"/>
          </w:tcPr>
          <w:p>
            <w:pPr>
              <w:rPr>
                <w:rFonts w:ascii="宋体" w:hAnsi="宋体"/>
              </w:rPr>
            </w:pPr>
            <w:r>
              <w:rPr>
                <w:rFonts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8" w:type="pct"/>
          </w:tcPr>
          <w:p>
            <w:pPr>
              <w:ind w:firstLine="420" w:firstLineChars="200"/>
              <w:rPr>
                <w:rFonts w:ascii="宋体" w:hAnsi="宋体"/>
                <w:szCs w:val="21"/>
              </w:rPr>
            </w:pPr>
            <w:r>
              <w:rPr>
                <w:rFonts w:ascii="宋体" w:hAnsi="宋体"/>
                <w:szCs w:val="21"/>
              </w:rPr>
              <w:t>本计划秉承价值投资的理念，通过严谨的风险控制管理流程，主要基于不确定性定价的价值策略模型进行稳健投资，并辅之以其他投资策略，力求实现资产管理计划财产的稳健增长。</w:t>
            </w:r>
          </w:p>
          <w:p>
            <w:pPr>
              <w:ind w:firstLine="420" w:firstLineChars="200"/>
              <w:rPr>
                <w:rFonts w:hint="eastAsia" w:ascii="宋体" w:hAnsi="宋体"/>
                <w:szCs w:val="21"/>
              </w:rPr>
            </w:pPr>
            <w:r>
              <w:rPr>
                <w:rFonts w:hint="eastAsia" w:ascii="宋体" w:hAnsi="宋体"/>
                <w:szCs w:val="21"/>
              </w:rPr>
              <w:t>1、股票投资策略</w:t>
            </w:r>
          </w:p>
          <w:p>
            <w:pPr>
              <w:ind w:firstLine="420" w:firstLineChars="200"/>
              <w:rPr>
                <w:rFonts w:hint="eastAsia" w:ascii="宋体" w:hAnsi="宋体"/>
                <w:szCs w:val="21"/>
              </w:rPr>
            </w:pPr>
            <w:r>
              <w:rPr>
                <w:rFonts w:hint="eastAsia" w:ascii="宋体" w:hAnsi="宋体"/>
                <w:szCs w:val="21"/>
              </w:rPr>
              <w:t>股票多头投资策略：基于PB-ROE的价值选股框架选择个股，采用定量分析与定性分析相结合的方法对上市公司进行价值体系评估，发现市场估值较低、发展较好、具备价值增长潜力的公司，构建具备超额收益优势明显的股票投资组合。</w:t>
            </w:r>
          </w:p>
          <w:p>
            <w:pPr>
              <w:ind w:firstLine="420" w:firstLineChars="200"/>
              <w:rPr>
                <w:rFonts w:hint="eastAsia" w:ascii="宋体" w:hAnsi="宋体"/>
                <w:szCs w:val="21"/>
              </w:rPr>
            </w:pPr>
            <w:r>
              <w:rPr>
                <w:rFonts w:hint="eastAsia" w:ascii="宋体" w:hAnsi="宋体"/>
                <w:szCs w:val="21"/>
              </w:rPr>
              <w:t>股票空头投资策略：通过融券机制做空市场中估值过高、公司发展面临风险的行业及公司，最大限度地获取行业或个股估值差异的下行阿尔法。</w:t>
            </w:r>
          </w:p>
          <w:p>
            <w:pPr>
              <w:ind w:firstLine="420" w:firstLineChars="200"/>
              <w:rPr>
                <w:rFonts w:hint="eastAsia" w:ascii="宋体" w:hAnsi="宋体"/>
                <w:szCs w:val="21"/>
              </w:rPr>
            </w:pPr>
            <w:r>
              <w:rPr>
                <w:rFonts w:hint="eastAsia" w:ascii="宋体" w:hAnsi="宋体"/>
                <w:szCs w:val="21"/>
              </w:rPr>
              <w:t>2、债券投资策略</w:t>
            </w:r>
          </w:p>
          <w:p>
            <w:pPr>
              <w:ind w:firstLine="420" w:firstLineChars="200"/>
              <w:rPr>
                <w:rFonts w:hint="eastAsia" w:ascii="宋体" w:hAnsi="宋体"/>
                <w:szCs w:val="21"/>
              </w:rPr>
            </w:pPr>
            <w:r>
              <w:rPr>
                <w:rFonts w:hint="eastAsia" w:ascii="宋体" w:hAnsi="宋体"/>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w:t>
            </w:r>
          </w:p>
          <w:p>
            <w:pPr>
              <w:ind w:firstLine="420" w:firstLineChars="200"/>
              <w:rPr>
                <w:rFonts w:hint="eastAsia" w:ascii="宋体" w:hAnsi="宋体"/>
                <w:szCs w:val="21"/>
              </w:rPr>
            </w:pPr>
            <w:r>
              <w:rPr>
                <w:rFonts w:hint="eastAsia" w:ascii="宋体" w:hAnsi="宋体"/>
                <w:szCs w:val="21"/>
              </w:rPr>
              <w:t>3、公募基金投资策略</w:t>
            </w:r>
          </w:p>
          <w:p>
            <w:pPr>
              <w:ind w:firstLine="420" w:firstLineChars="200"/>
              <w:rPr>
                <w:rFonts w:hint="eastAsia" w:ascii="宋体" w:hAnsi="宋体"/>
                <w:szCs w:val="21"/>
              </w:rPr>
            </w:pPr>
            <w:r>
              <w:rPr>
                <w:rFonts w:hint="eastAsia" w:ascii="宋体" w:hAnsi="宋体"/>
                <w:szCs w:val="21"/>
              </w:rPr>
              <w:t>基于计划投资顾问对拟投资基金的运作评估，本计划将从产品管理人风格、产品风格、历史表现收益来精选绩优基金进行组合管理，在严格风险管理的基础上，为资产委托人创造稳健收益。</w:t>
            </w:r>
          </w:p>
          <w:p>
            <w:pPr>
              <w:ind w:firstLine="420" w:firstLineChars="200"/>
              <w:rPr>
                <w:rFonts w:hint="eastAsia" w:ascii="宋体" w:hAnsi="宋体"/>
                <w:szCs w:val="21"/>
              </w:rPr>
            </w:pPr>
            <w:r>
              <w:rPr>
                <w:rFonts w:hint="eastAsia" w:ascii="宋体" w:hAnsi="宋体"/>
                <w:szCs w:val="21"/>
              </w:rPr>
              <w:t>4、金融衍生品投资策略</w:t>
            </w:r>
          </w:p>
          <w:p>
            <w:pPr>
              <w:ind w:firstLine="420" w:firstLineChars="200"/>
              <w:rPr>
                <w:rFonts w:hint="eastAsia" w:ascii="宋体" w:hAnsi="宋体"/>
                <w:szCs w:val="21"/>
              </w:rPr>
            </w:pPr>
            <w:r>
              <w:rPr>
                <w:rFonts w:hint="eastAsia" w:ascii="宋体" w:hAnsi="宋体"/>
                <w:szCs w:val="21"/>
              </w:rPr>
              <w:t>计划投资顾问将充分考虑金融衍生品的收益性、流动性及风险性特征，基于谨慎原则运用金融衍生品工具对计划投资组合进行管理，以提高投资效率、控制并降低投资组合风险，从而更好地实现本基金的投资目标。</w:t>
            </w:r>
          </w:p>
          <w:p>
            <w:pPr>
              <w:ind w:firstLine="420" w:firstLineChars="200"/>
              <w:rPr>
                <w:rFonts w:hint="eastAsia" w:ascii="宋体" w:hAnsi="宋体"/>
                <w:szCs w:val="21"/>
              </w:rPr>
            </w:pPr>
            <w:r>
              <w:rPr>
                <w:rFonts w:hint="eastAsia" w:ascii="宋体" w:hAnsi="宋体"/>
                <w:szCs w:val="21"/>
              </w:rPr>
              <w:t>5、风险管理策略</w:t>
            </w:r>
          </w:p>
          <w:p>
            <w:pPr>
              <w:rPr>
                <w:rFonts w:ascii="宋体" w:hAnsi="宋体"/>
              </w:rPr>
            </w:pPr>
            <w:r>
              <w:rPr>
                <w:rFonts w:hint="eastAsia" w:ascii="宋体" w:hAnsi="宋体"/>
                <w:szCs w:val="21"/>
              </w:rPr>
              <w:t>关注市场风格及个股分化表现，建立量化为核心的多空组合风险管理体系，规避市场风格及行业的极端分化风险。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8" w:type="pct"/>
          </w:tcPr>
          <w:p>
            <w:pPr>
              <w:rPr>
                <w:rFonts w:ascii="宋体" w:hAnsi="宋体"/>
              </w:rPr>
            </w:pPr>
            <w:r>
              <w:rPr>
                <w:rFonts w:ascii="宋体" w:hAnsi="宋体"/>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8" w:type="pct"/>
          </w:tcPr>
          <w:p>
            <w:pPr>
              <w:rPr>
                <w:rFonts w:ascii="宋体" w:hAnsi="宋体"/>
              </w:rPr>
            </w:pPr>
            <w:r>
              <w:rPr>
                <w:rFonts w:hint="eastAsia" w:ascii="宋体" w:hAnsi="宋体"/>
                <w:szCs w:val="21"/>
              </w:rPr>
              <w:t>本资产管理计划属于[R5高风险]风险投资品种，适合专业投资者和风险识别、评估、承受能力[C5]的普通投资者。</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ascii="宋体" w:hAnsi="宋体"/>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ascii="宋体" w:hAnsi="宋体"/>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spacing w:line="348" w:lineRule="auto"/>
              <w:ind w:firstLine="420" w:firstLineChars="200"/>
              <w:contextualSpacing/>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ascii="宋体" w:hAnsi="宋体"/>
                <w:szCs w:val="21"/>
              </w:rPr>
              <w:t>-</w:t>
            </w:r>
          </w:p>
        </w:tc>
        <w:tc>
          <w:tcPr>
            <w:tcW w:w="1666" w:type="pct"/>
          </w:tcPr>
          <w:p>
            <w:pP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上海市中山南路318号2号楼3楼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2022年</w:t>
            </w:r>
          </w:p>
        </w:tc>
        <w:tc>
          <w:tcPr>
            <w:tcW w:w="1101" w:type="pct"/>
            <w:vAlign w:val="center"/>
          </w:tcPr>
          <w:p>
            <w:pPr>
              <w:jc w:val="center"/>
              <w:rPr>
                <w:rFonts w:ascii="宋体" w:hAnsi="宋体"/>
                <w:szCs w:val="21"/>
              </w:rPr>
            </w:pPr>
            <w:r>
              <w:rPr>
                <w:rFonts w:hint="eastAsia" w:ascii="宋体" w:hAnsi="宋体"/>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15,165,701.96</w:t>
            </w:r>
          </w:p>
        </w:tc>
        <w:tc>
          <w:tcPr>
            <w:tcW w:w="1091" w:type="pct"/>
            <w:vAlign w:val="center"/>
          </w:tcPr>
          <w:p>
            <w:pPr>
              <w:jc w:val="right"/>
              <w:rPr>
                <w:rFonts w:ascii="宋体" w:hAnsi="宋体"/>
                <w:szCs w:val="21"/>
              </w:rPr>
            </w:pPr>
            <w:r>
              <w:rPr>
                <w:rFonts w:ascii="宋体" w:hAnsi="宋体"/>
                <w:szCs w:val="21"/>
              </w:rPr>
              <w:t>63,815,130.37</w:t>
            </w:r>
          </w:p>
        </w:tc>
        <w:tc>
          <w:tcPr>
            <w:tcW w:w="1101" w:type="pct"/>
            <w:vAlign w:val="center"/>
          </w:tcPr>
          <w:p>
            <w:pPr>
              <w:jc w:val="right"/>
              <w:rPr>
                <w:rFonts w:ascii="宋体" w:hAnsi="宋体"/>
                <w:szCs w:val="21"/>
              </w:rPr>
            </w:pPr>
            <w:r>
              <w:rPr>
                <w:rFonts w:ascii="宋体" w:hAnsi="宋体"/>
                <w:szCs w:val="21"/>
              </w:rPr>
              <w:t>-114,282.14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15,614,781.14</w:t>
            </w:r>
          </w:p>
        </w:tc>
        <w:tc>
          <w:tcPr>
            <w:tcW w:w="1091" w:type="pct"/>
            <w:vAlign w:val="center"/>
          </w:tcPr>
          <w:p>
            <w:pPr>
              <w:jc w:val="right"/>
              <w:rPr>
                <w:rFonts w:ascii="宋体" w:hAnsi="宋体"/>
                <w:szCs w:val="21"/>
              </w:rPr>
            </w:pPr>
            <w:r>
              <w:rPr>
                <w:rFonts w:ascii="宋体" w:hAnsi="宋体"/>
                <w:szCs w:val="21"/>
              </w:rPr>
              <w:t>43,669,793.46</w:t>
            </w:r>
          </w:p>
        </w:tc>
        <w:tc>
          <w:tcPr>
            <w:tcW w:w="1101" w:type="pct"/>
            <w:vAlign w:val="center"/>
          </w:tcPr>
          <w:p>
            <w:pPr>
              <w:jc w:val="right"/>
              <w:rPr>
                <w:rFonts w:ascii="宋体" w:hAnsi="宋体"/>
                <w:szCs w:val="21"/>
              </w:rPr>
            </w:pPr>
            <w:r>
              <w:rPr>
                <w:rFonts w:ascii="宋体" w:hAnsi="宋体"/>
                <w:szCs w:val="21"/>
              </w:rPr>
              <w:t>12,482,252.58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2022年末</w:t>
            </w:r>
          </w:p>
        </w:tc>
        <w:tc>
          <w:tcPr>
            <w:tcW w:w="1101" w:type="pct"/>
            <w:vAlign w:val="center"/>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35,007,864.94</w:t>
            </w:r>
          </w:p>
        </w:tc>
        <w:tc>
          <w:tcPr>
            <w:tcW w:w="1091" w:type="pct"/>
            <w:vAlign w:val="center"/>
          </w:tcPr>
          <w:p>
            <w:pPr>
              <w:jc w:val="right"/>
              <w:rPr>
                <w:rFonts w:ascii="宋体" w:hAnsi="宋体"/>
                <w:szCs w:val="21"/>
              </w:rPr>
            </w:pPr>
            <w:r>
              <w:rPr>
                <w:rFonts w:ascii="宋体" w:hAnsi="宋体"/>
                <w:szCs w:val="21"/>
              </w:rPr>
              <w:t>33,476,972.52</w:t>
            </w:r>
          </w:p>
        </w:tc>
        <w:tc>
          <w:tcPr>
            <w:tcW w:w="1101" w:type="pct"/>
            <w:vAlign w:val="center"/>
          </w:tcPr>
          <w:p>
            <w:pPr>
              <w:jc w:val="right"/>
              <w:rPr>
                <w:rFonts w:ascii="宋体" w:hAnsi="宋体"/>
                <w:szCs w:val="21"/>
              </w:rPr>
            </w:pPr>
            <w:r>
              <w:rPr>
                <w:rFonts w:ascii="宋体" w:hAnsi="宋体"/>
                <w:szCs w:val="21"/>
              </w:rPr>
              <w:t>-120,002.72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0.4001</w:t>
            </w:r>
          </w:p>
        </w:tc>
        <w:tc>
          <w:tcPr>
            <w:tcW w:w="1091" w:type="pct"/>
            <w:vAlign w:val="center"/>
          </w:tcPr>
          <w:p>
            <w:pPr>
              <w:jc w:val="right"/>
              <w:rPr>
                <w:rFonts w:ascii="宋体" w:hAnsi="宋体"/>
                <w:szCs w:val="21"/>
              </w:rPr>
            </w:pPr>
            <w:r>
              <w:rPr>
                <w:rFonts w:ascii="宋体" w:hAnsi="宋体"/>
                <w:szCs w:val="21"/>
              </w:rPr>
              <w:t>0.3288</w:t>
            </w:r>
          </w:p>
        </w:tc>
        <w:tc>
          <w:tcPr>
            <w:tcW w:w="1101" w:type="pct"/>
            <w:vAlign w:val="center"/>
          </w:tcPr>
          <w:p>
            <w:pPr>
              <w:jc w:val="right"/>
              <w:rPr>
                <w:rFonts w:ascii="宋体" w:hAnsi="宋体"/>
                <w:szCs w:val="21"/>
              </w:rPr>
            </w:pPr>
            <w:r>
              <w:rPr>
                <w:rFonts w:ascii="宋体" w:hAnsi="宋体"/>
                <w:szCs w:val="21"/>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122,510,381.01</w:t>
            </w:r>
          </w:p>
        </w:tc>
        <w:tc>
          <w:tcPr>
            <w:tcW w:w="1091" w:type="pct"/>
            <w:vAlign w:val="center"/>
          </w:tcPr>
          <w:p>
            <w:pPr>
              <w:jc w:val="right"/>
              <w:rPr>
                <w:rFonts w:ascii="宋体" w:hAnsi="宋体"/>
                <w:szCs w:val="21"/>
              </w:rPr>
            </w:pPr>
            <w:r>
              <w:rPr>
                <w:rFonts w:ascii="宋体" w:hAnsi="宋体"/>
                <w:szCs w:val="21"/>
              </w:rPr>
              <w:t>135,305,102.41</w:t>
            </w:r>
          </w:p>
        </w:tc>
        <w:tc>
          <w:tcPr>
            <w:tcW w:w="1101" w:type="pct"/>
            <w:vAlign w:val="center"/>
          </w:tcPr>
          <w:p>
            <w:pPr>
              <w:jc w:val="right"/>
              <w:rPr>
                <w:rFonts w:ascii="宋体" w:hAnsi="宋体"/>
                <w:szCs w:val="21"/>
              </w:rPr>
            </w:pPr>
            <w:r>
              <w:rPr>
                <w:rFonts w:ascii="宋体" w:hAnsi="宋体"/>
                <w:szCs w:val="21"/>
              </w:rPr>
              <w:t>215,140,521.41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1.4001</w:t>
            </w:r>
          </w:p>
        </w:tc>
        <w:tc>
          <w:tcPr>
            <w:tcW w:w="1091" w:type="pct"/>
            <w:vAlign w:val="center"/>
          </w:tcPr>
          <w:p>
            <w:pPr>
              <w:jc w:val="right"/>
              <w:rPr>
                <w:rFonts w:ascii="宋体" w:hAnsi="宋体"/>
                <w:szCs w:val="21"/>
              </w:rPr>
            </w:pPr>
            <w:r>
              <w:rPr>
                <w:rFonts w:ascii="宋体" w:hAnsi="宋体"/>
                <w:szCs w:val="21"/>
              </w:rPr>
              <w:t>1.3288</w:t>
            </w:r>
          </w:p>
        </w:tc>
        <w:tc>
          <w:tcPr>
            <w:tcW w:w="1101" w:type="pct"/>
            <w:vAlign w:val="center"/>
          </w:tcPr>
          <w:p>
            <w:pPr>
              <w:jc w:val="right"/>
              <w:rPr>
                <w:rFonts w:ascii="宋体" w:hAnsi="宋体"/>
                <w:szCs w:val="21"/>
              </w:rPr>
            </w:pPr>
            <w:r>
              <w:rPr>
                <w:rFonts w:ascii="宋体" w:hAnsi="宋体"/>
                <w:szCs w:val="21"/>
              </w:rPr>
              <w:t>1.0616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2022年末</w:t>
            </w:r>
          </w:p>
        </w:tc>
        <w:tc>
          <w:tcPr>
            <w:tcW w:w="1101" w:type="pct"/>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50.01</w:t>
            </w:r>
          </w:p>
        </w:tc>
        <w:tc>
          <w:tcPr>
            <w:tcW w:w="1091" w:type="pct"/>
          </w:tcPr>
          <w:p>
            <w:pPr>
              <w:jc w:val="right"/>
              <w:rPr>
                <w:rFonts w:ascii="宋体" w:hAnsi="宋体"/>
                <w:szCs w:val="21"/>
              </w:rPr>
            </w:pPr>
            <w:r>
              <w:rPr>
                <w:rFonts w:ascii="宋体" w:hAnsi="宋体"/>
                <w:szCs w:val="21"/>
              </w:rPr>
              <w:t>32.88</w:t>
            </w:r>
          </w:p>
        </w:tc>
        <w:tc>
          <w:tcPr>
            <w:tcW w:w="1101" w:type="pct"/>
          </w:tcPr>
          <w:p>
            <w:pPr>
              <w:jc w:val="right"/>
              <w:rPr>
                <w:rFonts w:ascii="宋体" w:hAnsi="宋体"/>
                <w:szCs w:val="21"/>
              </w:rPr>
            </w:pPr>
            <w:r>
              <w:rPr>
                <w:rFonts w:ascii="宋体" w:hAnsi="宋体"/>
                <w:szCs w:val="21"/>
              </w:rPr>
              <w:t>6.16</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12.89</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50.01</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937"/>
        <w:gridCol w:w="1698"/>
        <w:gridCol w:w="1712"/>
        <w:gridCol w:w="147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0.1000</w:t>
            </w:r>
          </w:p>
        </w:tc>
        <w:tc>
          <w:tcPr>
            <w:tcW w:w="1008" w:type="pct"/>
            <w:vAlign w:val="center"/>
          </w:tcPr>
          <w:p>
            <w:pPr>
              <w:jc w:val="right"/>
              <w:rPr>
                <w:rFonts w:ascii="宋体" w:hAnsi="宋体"/>
                <w:szCs w:val="21"/>
              </w:rPr>
            </w:pPr>
            <w:r>
              <w:rPr>
                <w:rFonts w:ascii="宋体" w:hAnsi="宋体"/>
                <w:szCs w:val="21"/>
              </w:rPr>
              <w:t>7,034,643.64</w:t>
            </w:r>
          </w:p>
        </w:tc>
        <w:tc>
          <w:tcPr>
            <w:tcW w:w="1016" w:type="pct"/>
            <w:vAlign w:val="center"/>
          </w:tcPr>
          <w:p>
            <w:pPr>
              <w:jc w:val="right"/>
              <w:rPr>
                <w:rFonts w:ascii="宋体" w:hAnsi="宋体"/>
                <w:szCs w:val="21"/>
              </w:rPr>
            </w:pPr>
            <w:r>
              <w:rPr>
                <w:rFonts w:ascii="宋体" w:hAnsi="宋体"/>
                <w:szCs w:val="21"/>
              </w:rPr>
              <w:t>2,435,242.52</w:t>
            </w:r>
          </w:p>
        </w:tc>
        <w:tc>
          <w:tcPr>
            <w:tcW w:w="807" w:type="pct"/>
            <w:vAlign w:val="center"/>
          </w:tcPr>
          <w:p>
            <w:pPr>
              <w:jc w:val="right"/>
              <w:rPr>
                <w:rFonts w:ascii="宋体" w:hAnsi="宋体"/>
                <w:szCs w:val="21"/>
              </w:rPr>
            </w:pPr>
            <w:r>
              <w:rPr>
                <w:rFonts w:ascii="宋体" w:hAnsi="宋体"/>
                <w:szCs w:val="21"/>
              </w:rPr>
              <w:t>9,469,886.16</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10,182.812989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1,844.988645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3,277.550027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8,750.251607</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本计划投资决策依据：本计划秉承价值投资的理念，通过严谨的风险控制管理流程，主要基于不确定性定价的价值策略模型进行稳健投资，并辅之以其他投资策略，力求实现资产管理计划财产的稳健增长。截止202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w:t>
            </w:r>
            <w:r>
              <w:rPr>
                <w:rFonts w:hint="eastAsia" w:ascii="宋体" w:hAnsi="宋体"/>
                <w:szCs w:val="21"/>
                <w:lang w:val="en-US" w:eastAsia="zh-CN"/>
              </w:rPr>
              <w:t>4001</w:t>
            </w:r>
            <w:r>
              <w:rPr>
                <w:rFonts w:hint="eastAsia" w:ascii="宋体" w:hAnsi="宋体"/>
                <w:szCs w:val="21"/>
              </w:rPr>
              <w:t>元，期末基金累计单位净值1.</w:t>
            </w:r>
            <w:r>
              <w:rPr>
                <w:rFonts w:hint="eastAsia" w:ascii="宋体" w:hAnsi="宋体"/>
                <w:szCs w:val="21"/>
                <w:lang w:val="en-US" w:eastAsia="zh-CN"/>
              </w:rPr>
              <w:t>5001</w:t>
            </w:r>
            <w:r>
              <w:rPr>
                <w:rFonts w:hint="eastAsia" w:ascii="宋体" w:hAnsi="宋体"/>
                <w:szCs w:val="21"/>
              </w:rPr>
              <w:t>元。</w:t>
            </w:r>
          </w:p>
          <w:p>
            <w:pPr>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.2 投资经理及投资顾问的指定</w:t>
            </w:r>
          </w:p>
          <w:p>
            <w:pPr>
              <w:ind w:firstLine="420" w:firstLineChars="200"/>
              <w:rPr>
                <w:rFonts w:ascii="宋体" w:hAnsi="宋体"/>
                <w:szCs w:val="21"/>
              </w:rPr>
            </w:pPr>
            <w:r>
              <w:rPr>
                <w:rFonts w:hint="eastAsia" w:ascii="宋体" w:hAnsi="宋体"/>
                <w:szCs w:val="21"/>
              </w:rPr>
              <w:t>本计划投资经理为：廉正，期货从业资格编码：F3054039；</w:t>
            </w:r>
            <w:r>
              <w:rPr>
                <w:rFonts w:hint="eastAsia" w:ascii="宋体" w:hAnsi="宋体"/>
                <w:szCs w:val="21"/>
                <w:lang w:val="en-US" w:eastAsia="zh-CN"/>
              </w:rPr>
              <w:t>邢敏，</w:t>
            </w:r>
            <w:r>
              <w:rPr>
                <w:rFonts w:hint="eastAsia"/>
              </w:rPr>
              <w:t>期货从业资格编码：F03087819</w:t>
            </w:r>
            <w:r>
              <w:rPr>
                <w:rFonts w:hint="eastAsia"/>
                <w:lang w:eastAsia="zh-CN"/>
              </w:rPr>
              <w:t>；</w:t>
            </w:r>
            <w:r>
              <w:rPr>
                <w:rFonts w:hint="eastAsia"/>
              </w:rPr>
              <w:t>于淼，期货从业资格编码：</w:t>
            </w:r>
            <w:r>
              <w:t>F03116823</w:t>
            </w:r>
            <w:r>
              <w:rPr>
                <w:rFonts w:hint="eastAsia"/>
              </w:rPr>
              <w:t>。本计划本报告期增加投资经理邢敏、于淼。</w:t>
            </w:r>
          </w:p>
          <w:p>
            <w:pPr>
              <w:ind w:firstLine="420" w:firstLineChars="200"/>
              <w:rPr>
                <w:rFonts w:ascii="宋体" w:hAnsi="宋体"/>
                <w:szCs w:val="21"/>
              </w:rPr>
            </w:pPr>
            <w:r>
              <w:rPr>
                <w:rFonts w:hint="eastAsia" w:ascii="宋体" w:hAnsi="宋体"/>
                <w:szCs w:val="21"/>
              </w:rPr>
              <w:t>廉正，期货从业资格编码：F305403，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rPr>
              <w:t>邢敏，期货从业资格编码：F03087819，材料物理学与金融学双学士，现任兴证期货资产管理部投资经理。有六年的债券固收投资交易经验，2017年7月至2021年6月在私募公司任交易部副总经理、投资经理，2021年7月加入兴证期货资管部。</w:t>
            </w:r>
          </w:p>
          <w:p>
            <w:pPr>
              <w:ind w:firstLine="420" w:firstLineChars="200"/>
              <w:rPr>
                <w:rFonts w:ascii="宋体" w:hAnsi="宋体"/>
                <w:szCs w:val="21"/>
              </w:rPr>
            </w:pPr>
            <w:r>
              <w:rPr>
                <w:rFonts w:hint="eastAsia"/>
              </w:rPr>
              <w:t>于淼，期货从业资格编码：</w:t>
            </w:r>
            <w:r>
              <w:t>F03116823</w:t>
            </w:r>
            <w:r>
              <w:rPr>
                <w:rFonts w:hint="eastAsia"/>
              </w:rPr>
              <w:t>，投资经理从业经验：金融工程硕士，现任兴证期货资产管理部投资经理。2018年7月至2020年11月，在上海和熙投资管理有限公司担任场外衍生品交易员岗位，从事衍生品研究和交易工作;2020年12月至2023年6月,在华鑫期货有限公司历任研究所研究员、资管部研究员、资管部投资经理岗位，负责量化交易策略的研究和开发工作；2023年6月加盟兴证期货资产管理部。长期从事衍生品研究，量化交易策略开发工作。</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ind w:firstLine="420" w:firstLineChars="200"/>
              <w:rPr>
                <w:rFonts w:ascii="宋体" w:hAnsi="宋体"/>
                <w:szCs w:val="21"/>
              </w:rPr>
            </w:pPr>
            <w:r>
              <w:rPr>
                <w:rFonts w:hint="eastAsia" w:ascii="宋体" w:hAnsi="宋体"/>
                <w:szCs w:val="21"/>
              </w:rPr>
              <w:t>本计划投资顾问为中庚基金管理有限公司，在本计划运作期间，投资顾问勤勉尽责为本计划提供投资建议，与我司不存在利益输送及其他不合规行为。投资顾问是经中国证监会证监许可[2018]918号文批准设立并持续经营的公募基金管理公司。该公司建立了专业化的投资管理机制，目前已经拥有一支具有丰富的投资经验、具有良好的业务能力和职业道德、具有团队协作和开拓创新精神的专业化团队。同时，该公司具备完善的风险控制体制，通过完善各类风险控制制度，建立全面的风险控制体系，最大程度上避免内部与外部风险对投资者利益的侵害。该公司的管理团队和投资研究团队在业内声誉良好，无不良从业记录，并有可追溯投资管理业绩证明。</w:t>
            </w:r>
          </w:p>
          <w:p>
            <w:pPr>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ind w:firstLine="420" w:firstLineChars="200"/>
              <w:rPr>
                <w:rFonts w:ascii="宋体" w:hAnsi="宋体"/>
                <w:szCs w:val="21"/>
              </w:rPr>
            </w:pP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ind w:firstLine="420" w:firstLineChars="200"/>
              <w:rPr>
                <w:rFonts w:ascii="宋体" w:hAnsi="宋体"/>
                <w:szCs w:val="21"/>
              </w:rPr>
            </w:pPr>
            <w:r>
              <w:rPr>
                <w:rFonts w:hint="eastAsia" w:ascii="宋体" w:hAnsi="宋体"/>
                <w:szCs w:val="21"/>
              </w:rPr>
              <w:t>（1）依法办理资产管理计划的销售、登记、备案事宜；</w:t>
            </w:r>
          </w:p>
          <w:p>
            <w:pPr>
              <w:ind w:firstLine="420" w:firstLineChars="200"/>
              <w:rPr>
                <w:rFonts w:ascii="宋体" w:hAnsi="宋体"/>
                <w:szCs w:val="21"/>
              </w:rPr>
            </w:pPr>
            <w:r>
              <w:rPr>
                <w:rFonts w:hint="eastAsia" w:ascii="宋体" w:hAnsi="宋体"/>
                <w:szCs w:val="21"/>
              </w:rPr>
              <w:t>（2）对所管理的不同资产管理计划的受托财产分别管理、分别记账，进行投资；</w:t>
            </w:r>
          </w:p>
          <w:p>
            <w:pPr>
              <w:ind w:firstLine="420" w:firstLineChars="200"/>
              <w:rPr>
                <w:rFonts w:hint="eastAsia" w:ascii="宋体" w:hAnsi="宋体"/>
                <w:szCs w:val="21"/>
              </w:rPr>
            </w:pP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firstLineChars="20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）法律、行政法规和中国证监会规定的其他职责。</w:t>
            </w:r>
          </w:p>
          <w:p>
            <w:pPr>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ind w:firstLine="0" w:firstLineChars="0"/>
              <w:rPr>
                <w:rFonts w:ascii="宋体" w:hAnsi="宋体"/>
                <w:szCs w:val="21"/>
              </w:rPr>
            </w:pPr>
            <w:r>
              <w:rPr>
                <w:rFonts w:hint="eastAsia" w:ascii="宋体" w:hAnsi="宋体"/>
                <w:szCs w:val="21"/>
                <w:lang w:val="en-US" w:eastAsia="zh-CN"/>
              </w:rPr>
              <w:t>4</w:t>
            </w:r>
            <w:r>
              <w:rPr>
                <w:rFonts w:hint="eastAsia" w:ascii="宋体" w:hAnsi="宋体"/>
                <w:szCs w:val="21"/>
              </w:rPr>
              <w:t>.6 报告期内其他说明情况</w:t>
            </w:r>
          </w:p>
          <w:p>
            <w:pPr>
              <w:ind w:firstLine="420" w:firstLineChars="200"/>
              <w:rPr>
                <w:rFonts w:ascii="宋体" w:hAnsi="宋体"/>
              </w:rPr>
            </w:pPr>
            <w:r>
              <w:rPr>
                <w:rFonts w:hint="eastAsia"/>
              </w:rPr>
              <w:t>本计划本报告期</w:t>
            </w:r>
            <w:r>
              <w:rPr>
                <w:rFonts w:hint="eastAsia"/>
                <w:lang w:val="en-US" w:eastAsia="zh-CN"/>
              </w:rPr>
              <w:t>进行一次分红</w:t>
            </w:r>
            <w:r>
              <w:rPr>
                <w:rFonts w:hint="eastAsia"/>
                <w:lang w:eastAsia="zh-CN"/>
              </w:rPr>
              <w:t>，</w:t>
            </w:r>
            <w:r>
              <w:rPr>
                <w:rFonts w:hint="eastAsia"/>
                <w:lang w:val="en-US" w:eastAsia="zh-CN"/>
              </w:rPr>
              <w:t>分红权益登记日为12月22日。</w:t>
            </w:r>
            <w:r>
              <w:rPr>
                <w:rFonts w:hint="eastAsia"/>
              </w:rPr>
              <w:t>本计划本报告期增加投资经理邢敏、于淼。本计划本报告期未未发生关联交易、未发生损害投资者利益的事件及其他不符合法律法规的事项。公司将继续遵守相关法律法规要求，严格履行管理人职责。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1,633,103.65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8,535,612.60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1,705.90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661,705.90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36,469,976.84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75,337,871.29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143,438,987.25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178,211,282.40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124,732,942.92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141,834,017.54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18,706,044.33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36,377,264.86</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181,543,773.64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262,746,472.19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43,990,930.72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109,953,575.65</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230,011.29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616,022.89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12,316,543.28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2,331,883.01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4,526,427.27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9,216.22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16,999.27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1,190.95</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111,063.27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80,320.00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74,288.11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12,216,090.48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59,033,392.63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127,441,369.78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87,502,516.07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101,828,129.89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35,007,864.94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33,476,972.52</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122,510,381.01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135,305,102.41</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181,543,773.64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262,746,472.19</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32,111,785.49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89,524,183.69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51,218.78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77,275.78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50,962.21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71,963.67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126.31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5,471.36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137.88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-7.62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-159.25</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-9,568,768.18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46,774,237.28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-14,087,447.77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35,419,522.56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-355,936.43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-404,776.51</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169,636.10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1,067,629.60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-437,200.00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4,704,979.92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11,129,061.63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449,079.18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-20,183,554.68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41,180,255.71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62,856,225.31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16,497,004.35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45,854,390.23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5,148,216.76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17,892,530.11</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2,617,882.50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2,778,686.67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2,530,334.26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15,113,843.44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38,014.62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63,152.01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38,014.62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63,152.01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2,543,302.59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5,649,440.74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8,132,216.39</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19,573,792.68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597,239.37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2,612,322.68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15,614,781.14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43,669,793.46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15,614,781.14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43,669,793.46</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2949"/>
        <w:gridCol w:w="2095"/>
        <w:gridCol w:w="1686"/>
        <w:gridCol w:w="1792"/>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101,828,129.89</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33,476,972.52</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135,305,102.41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15,614,781.14</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15,614,781.14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-14,325,613.82</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-6,171,723.85</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-20,497,337.67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18,449,886.45</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9,985,356.07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28,435,242.52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-32,775,500.27</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-16,157,079.92</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-48,932,580.19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-7,912,164.87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-7,912,164.87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87,502,516.07</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35,007,864.94</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122,510,381.01</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202,663,989.41</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12,476,532.00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215,140,521.41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43,669,793.46</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43,669,793.46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-100,835,859.52</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-22,669,352.94</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-123,505,212.46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-100,835,859.52</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-22,669,352.94</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-123,505,212.46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101,828,129.89</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33,476,972.52</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135,305,102.41</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217" w:type="dxa"/>
        <w:tblInd w:w="113" w:type="dxa"/>
        <w:tblLayout w:type="autofit"/>
        <w:tblCellMar>
          <w:top w:w="0" w:type="dxa"/>
          <w:left w:w="108" w:type="dxa"/>
          <w:bottom w:w="0" w:type="dxa"/>
          <w:right w:w="108" w:type="dxa"/>
        </w:tblCellMar>
      </w:tblPr>
      <w:tblGrid>
        <w:gridCol w:w="1696"/>
        <w:gridCol w:w="2410"/>
        <w:gridCol w:w="4111"/>
      </w:tblGrid>
      <w:tr>
        <w:tblPrEx>
          <w:tblCellMar>
            <w:top w:w="0" w:type="dxa"/>
            <w:left w:w="108" w:type="dxa"/>
            <w:bottom w:w="0" w:type="dxa"/>
            <w:right w:w="108" w:type="dxa"/>
          </w:tblCellMar>
        </w:tblPrEx>
        <w:trPr>
          <w:trHeight w:val="330" w:hRule="atLeast"/>
        </w:trPr>
        <w:tc>
          <w:tcPr>
            <w:tcW w:w="41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11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1,633,103.65</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36,471,682.74</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124,732,942.92</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18,706,044.33</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18,706,044.33</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44"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43,990,930.72</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43,990,930.72</w:t>
            </w:r>
          </w:p>
        </w:tc>
      </w:tr>
      <w:tr>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61,605,455.44</w:t>
            </w:r>
          </w:p>
        </w:tc>
        <w:tc>
          <w:tcPr>
            <w:tcW w:w="1266" w:type="pct"/>
            <w:vAlign w:val="center"/>
          </w:tcPr>
          <w:p>
            <w:pPr>
              <w:jc w:val="right"/>
              <w:rPr>
                <w:rFonts w:ascii="宋体" w:hAnsi="宋体"/>
                <w:szCs w:val="21"/>
              </w:rPr>
            </w:pPr>
            <w:r>
              <w:rPr>
                <w:rFonts w:ascii="宋体" w:hAnsi="宋体"/>
                <w:szCs w:val="21"/>
              </w:rPr>
              <w:t>50.29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418,528.00</w:t>
            </w:r>
          </w:p>
        </w:tc>
        <w:tc>
          <w:tcPr>
            <w:tcW w:w="1266" w:type="pct"/>
            <w:vAlign w:val="center"/>
          </w:tcPr>
          <w:p>
            <w:pPr>
              <w:jc w:val="right"/>
              <w:rPr>
                <w:rFonts w:ascii="宋体" w:hAnsi="宋体"/>
                <w:szCs w:val="21"/>
              </w:rPr>
            </w:pPr>
            <w:r>
              <w:rPr>
                <w:rFonts w:ascii="宋体" w:hAnsi="宋体"/>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272,764.00</w:t>
            </w:r>
          </w:p>
        </w:tc>
        <w:tc>
          <w:tcPr>
            <w:tcW w:w="1266" w:type="pct"/>
            <w:vAlign w:val="center"/>
          </w:tcPr>
          <w:p>
            <w:pPr>
              <w:jc w:val="right"/>
              <w:rPr>
                <w:rFonts w:ascii="宋体" w:hAnsi="宋体"/>
                <w:szCs w:val="21"/>
              </w:rPr>
            </w:pPr>
            <w:r>
              <w:rPr>
                <w:rFonts w:ascii="宋体" w:hAnsi="宋体"/>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62,296,747.44</w:t>
            </w:r>
          </w:p>
        </w:tc>
        <w:tc>
          <w:tcPr>
            <w:tcW w:w="1266" w:type="pct"/>
            <w:vAlign w:val="center"/>
          </w:tcPr>
          <w:p>
            <w:pPr>
              <w:jc w:val="right"/>
              <w:rPr>
                <w:rFonts w:ascii="宋体" w:hAnsi="宋体"/>
                <w:szCs w:val="21"/>
              </w:rPr>
            </w:pPr>
            <w:r>
              <w:rPr>
                <w:rFonts w:ascii="宋体" w:hAnsi="宋体"/>
                <w:szCs w:val="21"/>
              </w:rPr>
              <w:t>50.85</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62,436,195.48</w:t>
            </w:r>
          </w:p>
        </w:tc>
        <w:tc>
          <w:tcPr>
            <w:tcW w:w="1667" w:type="pct"/>
          </w:tcPr>
          <w:p>
            <w:pPr>
              <w:jc w:val="right"/>
              <w:rPr>
                <w:rFonts w:ascii="宋体" w:hAnsi="宋体"/>
              </w:rPr>
            </w:pPr>
            <w:r>
              <w:rPr>
                <w:rFonts w:ascii="宋体" w:hAnsi="宋体"/>
              </w:rPr>
              <w:t>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62,436,195.48</w:t>
            </w:r>
          </w:p>
        </w:tc>
        <w:tc>
          <w:tcPr>
            <w:tcW w:w="1667" w:type="pct"/>
          </w:tcPr>
          <w:p>
            <w:pPr>
              <w:jc w:val="right"/>
              <w:rPr>
                <w:rFonts w:ascii="宋体" w:hAnsi="宋体"/>
              </w:rPr>
            </w:pPr>
            <w:r>
              <w:rPr>
                <w:rFonts w:ascii="宋体" w:hAnsi="宋体"/>
              </w:rPr>
              <w:t>50.96</w:t>
            </w:r>
          </w:p>
        </w:tc>
      </w:tr>
    </w:tbl>
    <w:p>
      <w:pPr>
        <w:rPr>
          <w:rFonts w:ascii="宋体" w:hAnsi="宋体"/>
          <w:szCs w:val="21"/>
        </w:rPr>
      </w:pPr>
    </w:p>
    <w:p>
      <w:pPr>
        <w:pStyle w:val="2"/>
        <w:numPr>
          <w:ilvl w:val="0"/>
          <w:numId w:val="1"/>
        </w:numPr>
        <w:rPr>
          <w:rFonts w:ascii="宋体" w:hAnsi="宋体"/>
          <w:szCs w:val="21"/>
        </w:rPr>
      </w:pPr>
      <w:r>
        <w:rPr>
          <w:rFonts w:hint="eastAsia" w:ascii="宋体" w:hAnsi="宋体"/>
          <w:szCs w:val="21"/>
        </w:rPr>
        <w:t>信息披露报告</w:t>
      </w:r>
    </w:p>
    <w:p>
      <w:r>
        <w:rPr>
          <w:rFonts w:hint="eastAsia"/>
        </w:rPr>
        <w:t>信息</w:t>
      </w:r>
      <w:r>
        <w:t>披露报告是否经托管机构</w:t>
      </w:r>
      <w:r>
        <w:rPr>
          <w:rFonts w:hint="eastAsia"/>
        </w:rPr>
        <w:t>复核：是</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WNkYmMyNjI2OTM0Zjg5NDdkZGUwNWY3OWVmNjQifQ=="/>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0D2E000D"/>
    <w:rsid w:val="144378F8"/>
    <w:rsid w:val="17FD6593"/>
    <w:rsid w:val="190345AC"/>
    <w:rsid w:val="1B07351C"/>
    <w:rsid w:val="1FBD1B5D"/>
    <w:rsid w:val="208E28AB"/>
    <w:rsid w:val="22EE72A4"/>
    <w:rsid w:val="26B441B9"/>
    <w:rsid w:val="376B798F"/>
    <w:rsid w:val="37DE1208"/>
    <w:rsid w:val="502107E4"/>
    <w:rsid w:val="530E6494"/>
    <w:rsid w:val="59714DE7"/>
    <w:rsid w:val="6D5F3840"/>
    <w:rsid w:val="7691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qFormat/>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4BC3-B75C-4F82-8A16-378D092DC6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26</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2024-02-29T02:32:00Z</dcterms:created>
  <dc:creator>wfy</dc:creator>
  <cp:lastModifiedBy>孙雯</cp:lastModifiedBy>
  <dcterms:modified xsi:type="dcterms:W3CDTF">2024-03-15T08:10:17Z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4FCAA38FC26A46AABCC48D6E21AAC87B_12</vt:lpwstr>
  </property>
</Properties>
</file>