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w:t>
      </w:r>
      <w:r>
        <w:rPr>
          <w:rFonts w:hint="eastAsia" w:ascii="宋体" w:hAnsi="宋体"/>
          <w:b/>
          <w:sz w:val="40"/>
          <w:szCs w:val="40"/>
          <w:lang w:val="en-US" w:eastAsia="zh-Hans"/>
        </w:rPr>
        <w:t>珑厦担</w:t>
      </w:r>
      <w:r>
        <w:rPr>
          <w:rFonts w:hint="eastAsia" w:ascii="宋体" w:hAnsi="宋体"/>
          <w:b/>
          <w:sz w:val="40"/>
          <w:szCs w:val="40"/>
        </w:rPr>
        <w:t>FOF集合资产管理计划</w:t>
      </w:r>
      <w:r>
        <w:rPr>
          <w:rFonts w:hint="eastAsia" w:ascii="宋体" w:hAnsi="宋体"/>
          <w:b/>
          <w:sz w:val="40"/>
          <w:szCs w:val="40"/>
          <w:lang w:eastAsia="zh-Hans"/>
        </w:rPr>
        <w:t>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兴证期货-兴珑厦担FOF集合资产管理计划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SXT925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2022年12月7日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hint="eastAsia"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hint="eastAsia" w:ascii="宋体" w:hAnsi="宋体"/>
                <w:szCs w:val="21"/>
              </w:rPr>
              <w:t>以定量和定性相结合的方式选择和组合子基金，通过多策略分散投资，在严格控制风险的情况下，实现FOF的投资目标。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hint="eastAsia" w:ascii="宋体" w:hAnsi="宋体"/>
                <w:szCs w:val="21"/>
              </w:rPr>
              <w:t>R</w:t>
            </w:r>
            <w:r>
              <w:rPr>
                <w:rFonts w:ascii="宋体" w:hAnsi="宋体"/>
                <w:szCs w:val="21"/>
              </w:rPr>
              <w:t>3</w:t>
            </w:r>
            <w:r>
              <w:rPr>
                <w:rFonts w:hint="eastAsia" w:ascii="宋体" w:hAnsi="宋体"/>
                <w:szCs w:val="21"/>
              </w:rPr>
              <w:t>中风险，适合专业投资者和风险承受能力为C</w:t>
            </w:r>
            <w:r>
              <w:rPr>
                <w:rFonts w:ascii="宋体" w:hAnsi="宋体"/>
                <w:szCs w:val="21"/>
              </w:rPr>
              <w:t>3</w:t>
            </w:r>
            <w:r>
              <w:rPr>
                <w:rFonts w:hint="eastAsia" w:ascii="宋体" w:hAnsi="宋体"/>
                <w:szCs w:val="21"/>
              </w:rPr>
              <w:t>、C4、C5的普通投资者，并符合期货公司资产管理业务合格投资者相关标准。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-1.10</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-1.09</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125,193.77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-243,513.97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21,759,527.49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0.9891</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4"/>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2"/>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184,184.09</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2,378.71</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21613029.27</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4"/>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4"/>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2,200</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日本基金期末基金单位净值为0.9891元，期末基金累计单位净值0.9891元。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pStyle w:val="24"/>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hint="eastAsia" w:ascii="宋体" w:hAnsi="宋体"/>
                <w:szCs w:val="21"/>
              </w:rPr>
            </w:pPr>
            <w:r>
              <w:rPr>
                <w:rFonts w:hint="eastAsia" w:ascii="宋体" w:hAnsi="宋体"/>
                <w:szCs w:val="21"/>
              </w:rPr>
              <w:t>2024年1月26日，“兴证期货-兴珑厦担FOF集合资产管理计划”申请部分赎回子基金“兴证期货-兴瑞量化CTA2号集合资产管理计划”190万份份额，2024年1月29日赎回份额确认成功。</w:t>
            </w:r>
          </w:p>
          <w:p>
            <w:pPr>
              <w:ind w:firstLine="420" w:firstLineChars="200"/>
              <w:rPr>
                <w:rFonts w:ascii="宋体" w:hAnsi="宋体"/>
                <w:szCs w:val="21"/>
              </w:rPr>
            </w:pPr>
            <w:r>
              <w:rPr>
                <w:rFonts w:hint="eastAsia" w:ascii="宋体" w:hAnsi="宋体"/>
                <w:szCs w:val="21"/>
              </w:rPr>
              <w:t>本计划本报告期内未进行利润分配、投资经理未变更、</w:t>
            </w:r>
            <w:bookmarkStart w:id="0" w:name="_GoBack"/>
            <w:bookmarkEnd w:id="0"/>
            <w:r>
              <w:rPr>
                <w:rFonts w:hint="eastAsia" w:ascii="宋体" w:hAnsi="宋体"/>
                <w:szCs w:val="21"/>
              </w:rPr>
              <w:t>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3867300D"/>
    <w:rsid w:val="5FDBF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8"/>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1"/>
    <w:semiHidden/>
    <w:unhideWhenUsed/>
    <w:qFormat/>
    <w:uiPriority w:val="9"/>
    <w:pPr>
      <w:keepNext/>
      <w:keepLines/>
      <w:spacing w:before="240" w:after="64" w:line="320" w:lineRule="auto"/>
      <w:outlineLvl w:val="6"/>
    </w:pPr>
    <w:rPr>
      <w:b/>
      <w:bCs/>
      <w:sz w:val="24"/>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uiPriority w:val="99"/>
    <w:pPr>
      <w:jc w:val="left"/>
    </w:pPr>
  </w:style>
  <w:style w:type="paragraph" w:styleId="6">
    <w:name w:val="Balloon Text"/>
    <w:basedOn w:val="1"/>
    <w:link w:val="23"/>
    <w:semiHidden/>
    <w:unhideWhenUsed/>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5"/>
    <w:semiHidden/>
    <w:unhideWhenUsed/>
    <w:uiPriority w:val="99"/>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5"/>
    <w:next w:val="5"/>
    <w:link w:val="27"/>
    <w:semiHidden/>
    <w:unhideWhenUsed/>
    <w:uiPriority w:val="99"/>
    <w:rPr>
      <w:b/>
      <w:bCs/>
    </w:rPr>
  </w:style>
  <w:style w:type="table" w:styleId="13">
    <w:name w:val="Table Grid"/>
    <w:basedOn w:val="12"/>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unhideWhenUsed/>
    <w:uiPriority w:val="99"/>
    <w:rPr>
      <w:sz w:val="21"/>
      <w:szCs w:val="21"/>
    </w:rPr>
  </w:style>
  <w:style w:type="character" w:styleId="16">
    <w:name w:val="footnote reference"/>
    <w:uiPriority w:val="0"/>
    <w:rPr>
      <w:vertAlign w:val="superscript"/>
    </w:rPr>
  </w:style>
  <w:style w:type="table" w:customStyle="1" w:styleId="17">
    <w:name w:val="网格型1"/>
    <w:basedOn w:val="12"/>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6 Char"/>
    <w:link w:val="3"/>
    <w:uiPriority w:val="9"/>
    <w:rPr>
      <w:rFonts w:ascii="Cambria" w:hAnsi="Cambria"/>
      <w:b/>
      <w:bCs/>
      <w:kern w:val="2"/>
      <w:sz w:val="24"/>
      <w:szCs w:val="24"/>
    </w:rPr>
  </w:style>
  <w:style w:type="table" w:customStyle="1" w:styleId="19">
    <w:name w:val="网格型2"/>
    <w:basedOn w:val="12"/>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Char"/>
    <w:link w:val="2"/>
    <w:uiPriority w:val="9"/>
    <w:rPr>
      <w:b/>
      <w:bCs/>
      <w:kern w:val="44"/>
      <w:sz w:val="44"/>
      <w:szCs w:val="44"/>
    </w:rPr>
  </w:style>
  <w:style w:type="character" w:customStyle="1" w:styleId="21">
    <w:name w:val="标题 7 Char"/>
    <w:link w:val="4"/>
    <w:semiHidden/>
    <w:uiPriority w:val="9"/>
    <w:rPr>
      <w:b/>
      <w:bCs/>
      <w:kern w:val="2"/>
      <w:sz w:val="24"/>
      <w:szCs w:val="24"/>
    </w:rPr>
  </w:style>
  <w:style w:type="character" w:customStyle="1" w:styleId="22">
    <w:name w:val="页脚 Char"/>
    <w:link w:val="7"/>
    <w:uiPriority w:val="99"/>
    <w:rPr>
      <w:kern w:val="2"/>
      <w:sz w:val="18"/>
    </w:rPr>
  </w:style>
  <w:style w:type="character" w:customStyle="1" w:styleId="23">
    <w:name w:val="批注框文本 Char"/>
    <w:link w:val="6"/>
    <w:semiHidden/>
    <w:uiPriority w:val="99"/>
    <w:rPr>
      <w:kern w:val="2"/>
      <w:sz w:val="18"/>
      <w:szCs w:val="18"/>
    </w:rPr>
  </w:style>
  <w:style w:type="paragraph" w:styleId="24">
    <w:name w:val="List Paragraph"/>
    <w:basedOn w:val="1"/>
    <w:qFormat/>
    <w:uiPriority w:val="99"/>
    <w:pPr>
      <w:ind w:firstLine="420" w:firstLineChars="200"/>
    </w:pPr>
  </w:style>
  <w:style w:type="character" w:customStyle="1" w:styleId="25">
    <w:name w:val="脚注文本 Char"/>
    <w:link w:val="9"/>
    <w:semiHidden/>
    <w:uiPriority w:val="99"/>
    <w:rPr>
      <w:kern w:val="2"/>
      <w:sz w:val="18"/>
      <w:szCs w:val="18"/>
    </w:rPr>
  </w:style>
  <w:style w:type="character" w:customStyle="1" w:styleId="26">
    <w:name w:val="批注文字 Char"/>
    <w:link w:val="5"/>
    <w:semiHidden/>
    <w:uiPriority w:val="99"/>
    <w:rPr>
      <w:kern w:val="2"/>
      <w:sz w:val="21"/>
    </w:rPr>
  </w:style>
  <w:style w:type="character" w:customStyle="1" w:styleId="27">
    <w:name w:val="批注主题 Char"/>
    <w:link w:val="11"/>
    <w:semiHidden/>
    <w:uiPriority w:val="99"/>
    <w:rPr>
      <w:b/>
      <w:bCs/>
      <w:kern w:val="2"/>
      <w:sz w:val="21"/>
    </w:rPr>
  </w:style>
  <w:style w:type="character" w:styleId="28">
    <w:name w:val="Placeholder Text"/>
    <w:basedOn w:val="14"/>
    <w:unhideWhenUsed/>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2024-04-11T10:59:00Z</dcterms:created>
  <dc:creator>wfy</dc:creator>
  <cp:lastModifiedBy>孙雯</cp:lastModifiedBy>
  <dcterms:modified xsi:type="dcterms:W3CDTF">2024-04-15T06:39:44Z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82E88F5EE954F9CEE05517662D5B4192_42</vt:lpwstr>
  </property>
</Properties>
</file>