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28"/>
          <w:szCs w:val="28"/>
          <w:lang w:eastAsia="zh-CN"/>
        </w:rPr>
        <w:tab/>
      </w:r>
      <w:r>
        <w:rPr>
          <w:rFonts w:hint="eastAsia" w:ascii="宋体" w:hAnsi="宋体"/>
          <w:b/>
          <w:sz w:val="40"/>
          <w:szCs w:val="40"/>
        </w:rPr>
        <w:t>兴证期货-兴瑞多策略1号集合资产管理计划2024年第1季度报告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both"/>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szCs w:val="21"/>
        </w:rPr>
      </w:pPr>
      <w:bookmarkStart w:id="0" w:name="_GoBack"/>
      <w:bookmarkEnd w:id="0"/>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兴证期货-兴瑞多策略1号集合资产管理计划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SLD775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2020年6月9日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2,539.756595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ascii="宋体" w:hAnsi="宋体"/>
                <w:szCs w:val="21"/>
              </w:rPr>
              <w:t>1、决策依据</w:t>
            </w:r>
          </w:p>
          <w:p>
            <w:pPr>
              <w:rPr>
                <w:rFonts w:ascii="宋体" w:hAnsi="宋体"/>
                <w:szCs w:val="21"/>
              </w:rPr>
            </w:pPr>
            <w:r>
              <w:rPr>
                <w:rFonts w:ascii="宋体" w:hAnsi="宋体"/>
                <w:szCs w:val="21"/>
              </w:rPr>
              <w:t>本资产管理计划主策略以定量和定性相结合的方式，通过多策略分散投资，在严格控制风险的情况下，实现资产的稳健增值。</w:t>
            </w:r>
          </w:p>
          <w:p>
            <w:pPr>
              <w:rPr>
                <w:rFonts w:ascii="宋体" w:hAnsi="宋体"/>
                <w:szCs w:val="21"/>
              </w:rPr>
            </w:pPr>
            <w:r>
              <w:rPr>
                <w:rFonts w:ascii="宋体" w:hAnsi="宋体"/>
                <w:szCs w:val="21"/>
              </w:rPr>
              <w:t>2、决策程序</w:t>
            </w:r>
          </w:p>
          <w:p>
            <w:pPr>
              <w:rPr>
                <w:rFonts w:ascii="宋体" w:hAnsi="宋体"/>
                <w:szCs w:val="21"/>
              </w:rPr>
            </w:pPr>
            <w:r>
              <w:rPr>
                <w:rFonts w:ascii="宋体" w:hAnsi="宋体"/>
                <w:szCs w:val="21"/>
              </w:rPr>
              <w:t>管理人按照投资决策委员会-资产管理部-投资经理三级决策体系，来进行资产管理计划的运作。</w:t>
            </w:r>
          </w:p>
          <w:p>
            <w:pPr>
              <w:rPr>
                <w:rFonts w:ascii="宋体" w:hAnsi="宋体"/>
                <w:szCs w:val="21"/>
              </w:rPr>
            </w:pPr>
            <w:r>
              <w:rPr>
                <w:rFonts w:ascii="宋体" w:hAnsi="宋体"/>
                <w:szCs w:val="21"/>
              </w:rPr>
              <w:t>3、投资管理的方法和标准</w:t>
            </w:r>
          </w:p>
          <w:p>
            <w:pPr>
              <w:rPr>
                <w:rFonts w:ascii="宋体" w:hAnsi="宋体"/>
                <w:szCs w:val="21"/>
              </w:rPr>
            </w:pPr>
            <w:r>
              <w:rPr>
                <w:rFonts w:ascii="宋体" w:hAnsi="宋体"/>
                <w:szCs w:val="21"/>
              </w:rPr>
              <w:t>投资经理在公司投资决策委员会、资产管理部的授权范围内，按照合同约定和既定策略来进行相应的投资。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ascii="宋体" w:hAnsi="宋体"/>
                <w:szCs w:val="21"/>
              </w:rPr>
              <w:t>R4中高风险，适合专业投资者和风险承受能力为C4、C5的普通投资者，并符合期货公司资产管理业务合格投资者相关标准。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-2.63</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30.90</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-743,746.73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-898,595.14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25,906,527.68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1.0200</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986,856.17</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6,763,090.63</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2,074,554.05</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2,074,554.05</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10489110.04</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szCs w:val="21"/>
              </w:rPr>
            </w:pPr>
            <w:r>
              <w:rPr>
                <w:rFonts w:hint="eastAsia" w:ascii="宋体" w:hAnsi="宋体" w:eastAsia="宋体" w:cs="Times New Roman"/>
                <w:b w:val="0"/>
                <w:bCs w:val="0"/>
                <w:i w:val="0"/>
                <w:iCs w:val="0"/>
                <w:caps w:val="0"/>
                <w:color w:val="auto"/>
                <w:spacing w:val="0"/>
                <w:kern w:val="2"/>
                <w:sz w:val="21"/>
                <w:szCs w:val="21"/>
                <w:u w:val="none"/>
                <w:shd w:val="clear" w:fill="auto"/>
                <w:lang w:val="en-US" w:eastAsia="zh-CN" w:bidi="ar"/>
              </w:rPr>
              <w:t>5670426.94</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2,539.756595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2,539.756595</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本计划投资决策依据：本资产管理计划主策略以定量和定性相结合的方式，通过多策略分散投资，在严格控制风险的情况下，实现资产的稳健增值。截止202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w:t>
            </w:r>
            <w:r>
              <w:rPr>
                <w:rFonts w:ascii="宋体" w:hAnsi="宋体"/>
                <w:szCs w:val="21"/>
              </w:rPr>
              <w:t>1.0</w:t>
            </w:r>
            <w:r>
              <w:rPr>
                <w:rFonts w:hint="default" w:ascii="宋体" w:hAnsi="宋体"/>
                <w:szCs w:val="21"/>
              </w:rPr>
              <w:t>200</w:t>
            </w:r>
            <w:r>
              <w:rPr>
                <w:rFonts w:hint="eastAsia" w:ascii="宋体" w:hAnsi="宋体"/>
                <w:szCs w:val="21"/>
              </w:rPr>
              <w:t>元，期末基金累计单位净值</w:t>
            </w:r>
            <w:r>
              <w:rPr>
                <w:rFonts w:ascii="宋体" w:hAnsi="宋体"/>
                <w:szCs w:val="21"/>
              </w:rPr>
              <w:t>1.</w:t>
            </w:r>
            <w:r>
              <w:rPr>
                <w:rFonts w:hint="default" w:ascii="宋体" w:hAnsi="宋体"/>
                <w:szCs w:val="21"/>
              </w:rPr>
              <w:t>3090</w:t>
            </w:r>
            <w:r>
              <w:rPr>
                <w:rFonts w:hint="eastAsia" w:ascii="宋体" w:hAnsi="宋体"/>
                <w:szCs w:val="21"/>
              </w:rPr>
              <w:t>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本计划投资经理为廉正，期货从业资格编码：F3054039，本计划本报告期内未发生变更。</w:t>
            </w:r>
          </w:p>
          <w:p>
            <w:pPr>
              <w:rPr>
                <w:rFonts w:ascii="宋体" w:hAnsi="宋体"/>
                <w:szCs w:val="21"/>
              </w:rPr>
            </w:pPr>
            <w:r>
              <w:rPr>
                <w:rFonts w:hint="eastAsia" w:ascii="宋体" w:hAnsi="宋体"/>
                <w:szCs w:val="21"/>
              </w:rPr>
              <w:t xml:space="preserve">    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0E1C69E8"/>
    <w:rsid w:val="17FD6593"/>
    <w:rsid w:val="26B441B9"/>
    <w:rsid w:val="4A961F87"/>
    <w:rsid w:val="74BFB8D2"/>
    <w:rsid w:val="FFBF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styleId="15">
    <w:name w:val="footnote reference"/>
    <w:qFormat/>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qFormat/>
    <w:uiPriority w:val="9"/>
    <w:rPr>
      <w:rFonts w:ascii="Cambria" w:hAnsi="Cambria"/>
      <w:b/>
      <w:bCs/>
      <w:kern w:val="2"/>
      <w:sz w:val="24"/>
      <w:szCs w:val="24"/>
    </w:rPr>
  </w:style>
  <w:style w:type="table" w:customStyle="1" w:styleId="18">
    <w:name w:val="网格型2"/>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b/>
      <w:bCs/>
      <w:kern w:val="44"/>
      <w:sz w:val="44"/>
      <w:szCs w:val="44"/>
    </w:rPr>
  </w:style>
  <w:style w:type="character" w:customStyle="1" w:styleId="20">
    <w:name w:val="标题 7 Char"/>
    <w:link w:val="4"/>
    <w:semiHidden/>
    <w:qFormat/>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qFormat/>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6</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2024-04-11T10:24:00Z</dcterms:created>
  <dc:creator>wfy</dc:creator>
  <cp:lastModifiedBy>孙雯</cp:lastModifiedBy>
  <dcterms:modified xsi:type="dcterms:W3CDTF">2024-04-15T02:56:34Z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C7F80E37BB100B31454D1766D4DD1437_42</vt:lpwstr>
  </property>
</Properties>
</file>