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r>
        <w:rPr>
          <w:rFonts w:hint="eastAsia" w:ascii="宋体" w:hAnsi="宋体"/>
          <w:b/>
          <w:sz w:val="28"/>
          <w:szCs w:val="28"/>
          <w:lang w:eastAsia="zh-CN"/>
        </w:rPr>
        <w:tab/>
      </w:r>
      <w:r>
        <w:rPr>
          <w:rFonts w:hint="eastAsia" w:ascii="宋体" w:hAnsi="宋体"/>
          <w:b/>
          <w:sz w:val="40"/>
          <w:szCs w:val="40"/>
        </w:rPr>
        <w:t>兴证期货-兴玚FOF一号集合资产管理计划2024年第1季度报告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spacing w:line="360" w:lineRule="auto"/>
        <w:ind w:firstLine="2277" w:firstLineChars="945"/>
        <w:rPr>
          <w:b/>
          <w:sz w:val="24"/>
        </w:rPr>
      </w:pPr>
    </w:p>
    <w:p>
      <w:pPr>
        <w:jc w:val="both"/>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Align w:val="center"/>
          </w:tcPr>
          <w:p>
            <w:pPr>
              <w:jc w:val="center"/>
              <w:rPr>
                <w:rFonts w:ascii="宋体" w:hAnsi="宋体"/>
                <w:b/>
                <w:szCs w:val="21"/>
              </w:rPr>
            </w:pPr>
            <w:r>
              <w:rPr>
                <w:rFonts w:hint="eastAsia" w:ascii="宋体" w:hAnsi="宋体"/>
                <w:b/>
                <w:szCs w:val="21"/>
              </w:rPr>
              <w:t>项目</w:t>
            </w:r>
          </w:p>
        </w:tc>
        <w:tc>
          <w:tcPr>
            <w:tcW w:w="3439" w:type="pct"/>
            <w:vAlign w:val="center"/>
          </w:tcPr>
          <w:p>
            <w:pPr>
              <w:jc w:val="center"/>
              <w:rPr>
                <w:rFonts w:ascii="宋体" w:hAnsi="宋体"/>
                <w:b/>
                <w:szCs w:val="21"/>
              </w:rPr>
            </w:pPr>
            <w:r>
              <w:rPr>
                <w:rFonts w:hint="eastAsia" w:ascii="宋体" w:hAnsi="宋体"/>
                <w:b/>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rPr>
                <w:rFonts w:ascii="宋体" w:hAnsi="宋体"/>
                <w:szCs w:val="21"/>
              </w:rPr>
            </w:pPr>
            <w:r>
              <w:rPr>
                <w:rFonts w:ascii="宋体" w:hAnsi="宋体"/>
                <w:szCs w:val="21"/>
              </w:rPr>
              <w:t>兴证期货-兴玚FOF一号集合资产管理计划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szCs w:val="21"/>
              </w:rPr>
            </w:pPr>
            <w:r>
              <w:rPr>
                <w:rFonts w:ascii="宋体" w:hAnsi="宋体"/>
                <w:szCs w:val="21"/>
              </w:rPr>
              <w:t>SGK186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szCs w:val="21"/>
              </w:rPr>
            </w:pPr>
            <w:r>
              <w:rPr>
                <w:rFonts w:ascii="宋体" w:hAnsi="宋体"/>
                <w:szCs w:val="21"/>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szCs w:val="21"/>
              </w:rPr>
            </w:pPr>
            <w:r>
              <w:rPr>
                <w:rFonts w:ascii="宋体" w:hAnsi="宋体"/>
                <w:szCs w:val="21"/>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szCs w:val="21"/>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szCs w:val="21"/>
              </w:rPr>
            </w:pPr>
            <w:r>
              <w:rPr>
                <w:rFonts w:ascii="宋体" w:hAnsi="宋体"/>
                <w:szCs w:val="21"/>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szCs w:val="21"/>
              </w:rPr>
            </w:pPr>
            <w:r>
              <w:rPr>
                <w:rFonts w:ascii="宋体" w:hAnsi="宋体"/>
                <w:szCs w:val="21"/>
              </w:rPr>
              <w:t>2019年6月</w:t>
            </w:r>
            <w:r>
              <w:rPr>
                <w:rFonts w:hint="eastAsia" w:ascii="宋体" w:hAnsi="宋体"/>
                <w:szCs w:val="21"/>
                <w:lang w:val="en-US" w:eastAsia="zh-CN"/>
              </w:rPr>
              <w:t>10</w:t>
            </w:r>
            <w:r>
              <w:rPr>
                <w:rFonts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szCs w:val="21"/>
              </w:rPr>
            </w:pPr>
            <w:r>
              <w:rPr>
                <w:rFonts w:ascii="宋体" w:hAnsi="宋体"/>
                <w:szCs w:val="21"/>
              </w:rPr>
              <w:t>669.437477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投资目标</w:t>
            </w:r>
          </w:p>
        </w:tc>
        <w:tc>
          <w:tcPr>
            <w:tcW w:w="3439" w:type="pct"/>
          </w:tcPr>
          <w:p>
            <w:pPr>
              <w:rPr>
                <w:rFonts w:ascii="宋体" w:hAnsi="宋体"/>
                <w:szCs w:val="21"/>
              </w:rPr>
            </w:pPr>
            <w:r>
              <w:rPr>
                <w:rFonts w:ascii="宋体" w:hAnsi="宋体"/>
                <w:szCs w:val="21"/>
              </w:rPr>
              <w:t>在投资期限内，积极获取各种投资收益，在严格控制风险的前提下，谋求委托资产的稳定增值。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投资策略</w:t>
            </w:r>
          </w:p>
        </w:tc>
        <w:tc>
          <w:tcPr>
            <w:tcW w:w="3439" w:type="pct"/>
          </w:tcPr>
          <w:p>
            <w:pPr>
              <w:rPr>
                <w:rFonts w:ascii="宋体" w:hAnsi="宋体"/>
                <w:szCs w:val="21"/>
              </w:rPr>
            </w:pPr>
            <w:r>
              <w:rPr>
                <w:rFonts w:ascii="宋体" w:hAnsi="宋体"/>
                <w:szCs w:val="21"/>
              </w:rPr>
              <w:t>以定量和定性相结合的方式选择和组合子基金，通过多策略分散投资，在严格控制风险的情况下，实现FOF的稳健增值。从策略应呈现的风险收益特征出发，对子基金进行分类，然后根据既定目标进行FOF的资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业绩比较基准（如有）</w:t>
            </w:r>
          </w:p>
        </w:tc>
        <w:tc>
          <w:tcPr>
            <w:tcW w:w="3439" w:type="pct"/>
          </w:tcPr>
          <w:p>
            <w:pPr>
              <w:rPr>
                <w:rFonts w:ascii="宋体" w:hAnsi="宋体"/>
                <w:szCs w:val="21"/>
              </w:rPr>
            </w:pPr>
            <w:r>
              <w:rPr>
                <w:rFonts w:hint="eastAsia" w:ascii="宋体" w:hAnsi="宋体"/>
                <w:szCs w:val="21"/>
                <w:lang w:val="en-US" w:eastAsia="zh-CN"/>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风险收益特征</w:t>
            </w:r>
          </w:p>
        </w:tc>
        <w:tc>
          <w:tcPr>
            <w:tcW w:w="3439" w:type="pct"/>
          </w:tcPr>
          <w:p>
            <w:pPr>
              <w:rPr>
                <w:rFonts w:ascii="宋体" w:hAnsi="宋体"/>
                <w:szCs w:val="21"/>
              </w:rPr>
            </w:pPr>
            <w:r>
              <w:rPr>
                <w:rFonts w:ascii="宋体" w:hAnsi="宋体"/>
                <w:szCs w:val="21"/>
              </w:rPr>
              <w:t>R3中风险，适合专业投资者和风险承受能力为C3、C4和C5的普通投资者，并符合期货公司资产管理业务合格投资者相关标准。</w:t>
            </w:r>
          </w:p>
        </w:tc>
      </w:tr>
    </w:tbl>
    <w:p/>
    <w:p>
      <w:pP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基金净值表现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540"/>
        <w:gridCol w:w="1778"/>
        <w:gridCol w:w="190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rFonts w:ascii="宋体" w:hAnsi="宋体"/>
                <w:b/>
                <w:szCs w:val="21"/>
              </w:rPr>
            </w:pPr>
            <w:r>
              <w:rPr>
                <w:rFonts w:hint="eastAsia" w:ascii="宋体" w:hAnsi="宋体"/>
                <w:b/>
                <w:szCs w:val="21"/>
              </w:rPr>
              <w:t>阶段</w:t>
            </w:r>
          </w:p>
        </w:tc>
        <w:tc>
          <w:tcPr>
            <w:tcW w:w="1540" w:type="dxa"/>
            <w:vAlign w:val="center"/>
          </w:tcPr>
          <w:p>
            <w:pPr>
              <w:jc w:val="center"/>
              <w:rPr>
                <w:rFonts w:ascii="宋体" w:hAnsi="宋体"/>
                <w:b/>
                <w:szCs w:val="21"/>
              </w:rPr>
            </w:pPr>
            <w:r>
              <w:rPr>
                <w:rFonts w:hint="eastAsia" w:ascii="宋体" w:hAnsi="宋体"/>
                <w:b/>
                <w:szCs w:val="21"/>
              </w:rPr>
              <w:t>净值增长率（%）</w:t>
            </w:r>
          </w:p>
        </w:tc>
        <w:tc>
          <w:tcPr>
            <w:tcW w:w="1778" w:type="dxa"/>
            <w:vAlign w:val="center"/>
          </w:tcPr>
          <w:p>
            <w:pPr>
              <w:jc w:val="center"/>
              <w:rPr>
                <w:rFonts w:ascii="宋体" w:hAnsi="宋体"/>
                <w:b/>
                <w:szCs w:val="21"/>
              </w:rPr>
            </w:pPr>
            <w:r>
              <w:rPr>
                <w:rFonts w:hint="eastAsia" w:ascii="宋体" w:hAnsi="宋体"/>
                <w:b/>
                <w:szCs w:val="21"/>
              </w:rPr>
              <w:t>净值增长率标准差（%）</w:t>
            </w:r>
          </w:p>
        </w:tc>
        <w:tc>
          <w:tcPr>
            <w:tcW w:w="1903" w:type="dxa"/>
            <w:vAlign w:val="center"/>
          </w:tcPr>
          <w:p>
            <w:pPr>
              <w:jc w:val="center"/>
              <w:rPr>
                <w:rFonts w:ascii="宋体" w:hAnsi="宋体"/>
                <w:b/>
                <w:szCs w:val="21"/>
              </w:rPr>
            </w:pPr>
            <w:r>
              <w:rPr>
                <w:rFonts w:hint="eastAsia" w:ascii="宋体" w:hAnsi="宋体"/>
                <w:b/>
                <w:szCs w:val="21"/>
              </w:rPr>
              <w:t>业绩比较基准收益率（%）</w:t>
            </w:r>
          </w:p>
        </w:tc>
        <w:tc>
          <w:tcPr>
            <w:tcW w:w="1611" w:type="dxa"/>
            <w:vAlign w:val="center"/>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当季</w:t>
            </w:r>
          </w:p>
        </w:tc>
        <w:tc>
          <w:tcPr>
            <w:tcW w:w="1540" w:type="dxa"/>
          </w:tcPr>
          <w:p>
            <w:pPr>
              <w:jc w:val="right"/>
              <w:rPr>
                <w:rFonts w:ascii="宋体" w:hAnsi="宋体"/>
                <w:szCs w:val="21"/>
              </w:rPr>
            </w:pPr>
            <w:r>
              <w:rPr>
                <w:rFonts w:ascii="宋体" w:hAnsi="宋体"/>
                <w:szCs w:val="21"/>
              </w:rPr>
              <w:t>1.99</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自基金合同生效起至今</w:t>
            </w:r>
          </w:p>
        </w:tc>
        <w:tc>
          <w:tcPr>
            <w:tcW w:w="1540" w:type="dxa"/>
          </w:tcPr>
          <w:p>
            <w:pPr>
              <w:jc w:val="right"/>
              <w:rPr>
                <w:rFonts w:ascii="宋体" w:hAnsi="宋体"/>
                <w:szCs w:val="21"/>
              </w:rPr>
            </w:pPr>
            <w:r>
              <w:rPr>
                <w:rFonts w:ascii="宋体" w:hAnsi="宋体"/>
                <w:szCs w:val="21"/>
              </w:rPr>
              <w:t>23.66</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bl>
    <w:p>
      <w:pPr>
        <w:jc w:val="left"/>
        <w:rPr>
          <w:rFonts w:ascii="宋体" w:hAnsi="宋体"/>
        </w:rPr>
      </w:pPr>
    </w:p>
    <w:p>
      <w:pPr>
        <w:spacing w:line="360" w:lineRule="auto"/>
        <w:rPr>
          <w:rFonts w:ascii="宋体" w:hAnsi="宋体"/>
        </w:rPr>
      </w:pPr>
      <w:r>
        <w:rPr>
          <w:rFonts w:ascii="宋体" w:hAnsi="宋体"/>
        </w:rPr>
        <w:fldChar w:fldCharType="begin"/>
      </w:r>
      <w:r>
        <w:rPr>
          <w:rFonts w:ascii="宋体" w:hAnsi="宋体"/>
        </w:rPr>
        <w:instrText xml:space="preserve"> MACROBUTTON  SnrToggleCheckbox √无分级 </w:instrText>
      </w:r>
      <w:r>
        <w:rPr>
          <w:rFonts w:ascii="宋体" w:hAnsi="宋体"/>
        </w:rPr>
        <w:fldChar w:fldCharType="end"/>
      </w:r>
      <w:r>
        <w:rPr>
          <w:rFonts w:ascii="宋体" w:hAnsi="宋体"/>
        </w:rPr>
        <w:fldChar w:fldCharType="begin"/>
      </w:r>
      <w:r>
        <w:rPr>
          <w:rFonts w:ascii="宋体" w:hAnsi="宋体"/>
        </w:rPr>
        <w:instrText xml:space="preserve"> MACROBUTTON  SnrToggleCheckbox □二级基金 </w:instrText>
      </w:r>
      <w:r>
        <w:rPr>
          <w:rFonts w:ascii="宋体" w:hAnsi="宋体"/>
        </w:rPr>
        <w:fldChar w:fldCharType="end"/>
      </w:r>
      <w:r>
        <w:rPr>
          <w:rFonts w:ascii="宋体" w:hAnsi="宋体"/>
        </w:rPr>
        <w:fldChar w:fldCharType="begin"/>
      </w:r>
      <w:r>
        <w:rPr>
          <w:rFonts w:ascii="宋体" w:hAnsi="宋体"/>
        </w:rPr>
        <w:instrText xml:space="preserve"> MACROBUTTON  SnrToggleCheckbox □三级基金 </w:instrText>
      </w:r>
      <w:r>
        <w:rPr>
          <w:rFonts w:ascii="宋体" w:hAnsi="宋体"/>
        </w:rPr>
        <w:fldChar w:fldCharType="end"/>
      </w: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主要财务指标</w:t>
      </w:r>
    </w:p>
    <w:p>
      <w:pPr>
        <w:wordWrap w:val="0"/>
        <w:jc w:val="right"/>
        <w:rPr>
          <w:rFonts w:ascii="宋体" w:hAnsi="宋体"/>
          <w:szCs w:val="21"/>
        </w:rPr>
      </w:pPr>
      <w:r>
        <w:rPr>
          <w:rFonts w:hint="eastAsia" w:ascii="宋体" w:hAnsi="宋体"/>
          <w:b/>
          <w:color w:val="FF0000"/>
          <w:szCs w:val="21"/>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vAlign w:val="center"/>
          </w:tcPr>
          <w:p>
            <w:pPr>
              <w:jc w:val="center"/>
              <w:rPr>
                <w:rFonts w:ascii="宋体" w:hAnsi="宋体"/>
                <w:b/>
                <w:szCs w:val="21"/>
              </w:rPr>
            </w:pPr>
            <w:r>
              <w:rPr>
                <w:rFonts w:hint="eastAsia" w:ascii="宋体" w:hAnsi="宋体"/>
                <w:b/>
                <w:szCs w:val="21"/>
              </w:rPr>
              <w:t>项目</w:t>
            </w:r>
          </w:p>
        </w:tc>
        <w:tc>
          <w:tcPr>
            <w:tcW w:w="2857" w:type="pct"/>
            <w:vAlign w:val="center"/>
          </w:tcPr>
          <w:p>
            <w:pPr>
              <w:jc w:val="center"/>
              <w:rPr>
                <w:rFonts w:ascii="宋体" w:hAnsi="宋体"/>
                <w:b/>
                <w:szCs w:val="21"/>
              </w:rPr>
            </w:pPr>
            <w:r>
              <w:rPr>
                <w:rFonts w:hint="eastAsia" w:ascii="宋体" w:hAnsi="宋体"/>
                <w:b/>
                <w:szCs w:val="21"/>
              </w:rPr>
              <w:t>2024年1月1日 至 2024年3月31日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本期已实现收益</w:t>
            </w:r>
          </w:p>
        </w:tc>
        <w:tc>
          <w:tcPr>
            <w:tcW w:w="2857" w:type="pct"/>
          </w:tcPr>
          <w:p>
            <w:pPr>
              <w:jc w:val="right"/>
              <w:rPr>
                <w:rFonts w:ascii="宋体" w:hAnsi="宋体"/>
                <w:szCs w:val="21"/>
              </w:rPr>
            </w:pPr>
            <w:r>
              <w:rPr>
                <w:rFonts w:ascii="宋体" w:hAnsi="宋体"/>
                <w:szCs w:val="21"/>
              </w:rPr>
              <w:t>128,995.01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本期利润</w:t>
            </w:r>
          </w:p>
        </w:tc>
        <w:tc>
          <w:tcPr>
            <w:tcW w:w="2857" w:type="pct"/>
          </w:tcPr>
          <w:p>
            <w:pPr>
              <w:jc w:val="right"/>
              <w:rPr>
                <w:rFonts w:ascii="宋体" w:hAnsi="宋体"/>
                <w:szCs w:val="21"/>
              </w:rPr>
            </w:pPr>
            <w:r>
              <w:rPr>
                <w:rFonts w:ascii="宋体" w:hAnsi="宋体"/>
                <w:szCs w:val="21"/>
              </w:rPr>
              <w:t>160,940.39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期末基金净资产</w:t>
            </w:r>
          </w:p>
        </w:tc>
        <w:tc>
          <w:tcPr>
            <w:tcW w:w="2857" w:type="pct"/>
          </w:tcPr>
          <w:p>
            <w:pPr>
              <w:jc w:val="right"/>
              <w:rPr>
                <w:rFonts w:ascii="宋体" w:hAnsi="宋体"/>
                <w:szCs w:val="21"/>
              </w:rPr>
            </w:pPr>
            <w:r>
              <w:rPr>
                <w:rFonts w:ascii="宋体" w:hAnsi="宋体"/>
                <w:szCs w:val="21"/>
              </w:rPr>
              <w:t>8,278,086.31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报告期期末单位净值</w:t>
            </w:r>
          </w:p>
        </w:tc>
        <w:tc>
          <w:tcPr>
            <w:tcW w:w="2857" w:type="pct"/>
          </w:tcPr>
          <w:p>
            <w:pPr>
              <w:jc w:val="right"/>
              <w:rPr>
                <w:rFonts w:ascii="宋体" w:hAnsi="宋体"/>
                <w:szCs w:val="21"/>
              </w:rPr>
            </w:pPr>
            <w:r>
              <w:rPr>
                <w:rFonts w:ascii="宋体" w:hAnsi="宋体"/>
                <w:szCs w:val="21"/>
              </w:rPr>
              <w:t>1.2366</w:t>
            </w:r>
          </w:p>
        </w:tc>
      </w:tr>
    </w:tbl>
    <w:p>
      <w:pPr>
        <w:rPr>
          <w:rFonts w:ascii="宋体" w:hAnsi="宋体"/>
        </w:rPr>
      </w:pP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投资组合情况</w:t>
      </w:r>
    </w:p>
    <w:p>
      <w:pPr>
        <w:pStyle w:val="23"/>
        <w:numPr>
          <w:ilvl w:val="0"/>
          <w:numId w:val="2"/>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1"/>
        <w:tblW w:w="8217" w:type="dxa"/>
        <w:tblInd w:w="113" w:type="dxa"/>
        <w:tblLayout w:type="autofit"/>
        <w:tblCellMar>
          <w:top w:w="0" w:type="dxa"/>
          <w:left w:w="108" w:type="dxa"/>
          <w:bottom w:w="0" w:type="dxa"/>
          <w:right w:w="108" w:type="dxa"/>
        </w:tblCellMar>
      </w:tblPr>
      <w:tblGrid>
        <w:gridCol w:w="1980"/>
        <w:gridCol w:w="2977"/>
        <w:gridCol w:w="3260"/>
      </w:tblGrid>
      <w:tr>
        <w:tblPrEx>
          <w:tblCellMar>
            <w:top w:w="0" w:type="dxa"/>
            <w:left w:w="108" w:type="dxa"/>
            <w:bottom w:w="0" w:type="dxa"/>
            <w:right w:w="108" w:type="dxa"/>
          </w:tblCellMar>
        </w:tblPrEx>
        <w:trPr>
          <w:trHeight w:val="330" w:hRule="atLeast"/>
        </w:trPr>
        <w:tc>
          <w:tcPr>
            <w:tcW w:w="49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32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21,172.65</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82"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5,010.00</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5931575.89</w:t>
            </w:r>
          </w:p>
        </w:tc>
      </w:tr>
      <w:tr>
        <w:tblPrEx>
          <w:tblCellMar>
            <w:top w:w="0" w:type="dxa"/>
            <w:left w:w="108" w:type="dxa"/>
            <w:bottom w:w="0" w:type="dxa"/>
            <w:right w:w="108" w:type="dxa"/>
          </w:tblCellMar>
        </w:tblPrEx>
        <w:trPr>
          <w:trHeight w:val="544"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326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szCs w:val="21"/>
              </w:rPr>
            </w:pPr>
            <w:r>
              <w:rPr>
                <w:rFonts w:hint="eastAsia" w:ascii="宋体" w:hAnsi="宋体" w:eastAsia="宋体" w:cs="Times New Roman"/>
                <w:b w:val="0"/>
                <w:bCs w:val="0"/>
                <w:i w:val="0"/>
                <w:iCs w:val="0"/>
                <w:caps w:val="0"/>
                <w:color w:val="auto"/>
                <w:spacing w:val="0"/>
                <w:kern w:val="2"/>
                <w:sz w:val="21"/>
                <w:szCs w:val="21"/>
                <w:u w:val="none"/>
                <w:shd w:val="clear" w:fill="auto"/>
                <w:lang w:val="en-US" w:eastAsia="zh-CN" w:bidi="ar"/>
              </w:rPr>
              <w:t>2338485.41</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rPr>
      </w:pPr>
    </w:p>
    <w:p>
      <w:pPr>
        <w:outlineLvl w:val="1"/>
        <w:rPr>
          <w:rFonts w:ascii="宋体" w:hAnsi="宋体"/>
        </w:rPr>
      </w:pPr>
      <w:r>
        <w:rPr>
          <w:rFonts w:hint="eastAsia" w:ascii="宋体" w:hAnsi="宋体"/>
        </w:rPr>
        <w:t>4.2报告期末按行业分类的股票投资组合</w:t>
      </w:r>
    </w:p>
    <w:p>
      <w:pPr>
        <w:pStyle w:val="23"/>
        <w:numPr>
          <w:ilvl w:val="0"/>
          <w:numId w:val="3"/>
        </w:numPr>
        <w:ind w:firstLineChars="0"/>
        <w:jc w:val="left"/>
        <w:outlineLvl w:val="2"/>
        <w:rPr>
          <w:rFonts w:ascii="宋体" w:hAnsi="宋体"/>
          <w:szCs w:val="21"/>
        </w:rPr>
      </w:pPr>
      <w:r>
        <w:rPr>
          <w:rFonts w:hint="eastAsia" w:ascii="宋体" w:hAnsi="宋体"/>
          <w:szCs w:val="21"/>
        </w:rPr>
        <w:t>报告期末按行业分类的境内股票投资组合</w:t>
      </w:r>
    </w:p>
    <w:p>
      <w:pPr>
        <w:jc w:val="right"/>
      </w:pPr>
      <w:r>
        <w:rPr>
          <w:rFonts w:hint="eastAsia"/>
          <w:b/>
          <w:color w:val="FF0000"/>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900"/>
        <w:gridCol w:w="198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b/>
                <w:szCs w:val="21"/>
              </w:rPr>
            </w:pPr>
            <w:r>
              <w:rPr>
                <w:rFonts w:hint="eastAsia" w:ascii="宋体" w:hAnsi="宋体"/>
                <w:b/>
                <w:szCs w:val="21"/>
              </w:rPr>
              <w:t>序号</w:t>
            </w:r>
          </w:p>
        </w:tc>
        <w:tc>
          <w:tcPr>
            <w:tcW w:w="2288" w:type="pct"/>
            <w:vAlign w:val="center"/>
          </w:tcPr>
          <w:p>
            <w:pPr>
              <w:jc w:val="center"/>
              <w:rPr>
                <w:rFonts w:ascii="宋体" w:hAnsi="宋体"/>
                <w:b/>
                <w:szCs w:val="21"/>
              </w:rPr>
            </w:pPr>
            <w:r>
              <w:rPr>
                <w:rFonts w:hint="eastAsia" w:ascii="宋体" w:hAnsi="宋体"/>
                <w:b/>
                <w:szCs w:val="21"/>
              </w:rPr>
              <w:t>行业类别</w:t>
            </w:r>
          </w:p>
        </w:tc>
        <w:tc>
          <w:tcPr>
            <w:tcW w:w="1167" w:type="pct"/>
            <w:vAlign w:val="center"/>
          </w:tcPr>
          <w:p>
            <w:pPr>
              <w:jc w:val="center"/>
              <w:rPr>
                <w:rFonts w:ascii="宋体" w:hAnsi="宋体"/>
                <w:b/>
                <w:szCs w:val="21"/>
              </w:rPr>
            </w:pPr>
            <w:r>
              <w:rPr>
                <w:rFonts w:hint="eastAsia" w:ascii="宋体" w:hAnsi="宋体"/>
                <w:b/>
                <w:szCs w:val="21"/>
              </w:rPr>
              <w:t>公允价值</w:t>
            </w:r>
          </w:p>
        </w:tc>
        <w:tc>
          <w:tcPr>
            <w:tcW w:w="1151"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A</w:t>
            </w:r>
          </w:p>
        </w:tc>
        <w:tc>
          <w:tcPr>
            <w:tcW w:w="2288" w:type="pct"/>
            <w:vAlign w:val="center"/>
          </w:tcPr>
          <w:p>
            <w:pPr>
              <w:rPr>
                <w:rFonts w:ascii="宋体" w:hAnsi="宋体"/>
                <w:szCs w:val="21"/>
              </w:rPr>
            </w:pPr>
            <w:r>
              <w:rPr>
                <w:rFonts w:hint="eastAsia" w:ascii="宋体" w:hAnsi="宋体" w:cs="宋体"/>
                <w:kern w:val="0"/>
                <w:szCs w:val="21"/>
              </w:rPr>
              <w:t>农、林、牧、渔业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B</w:t>
            </w:r>
          </w:p>
        </w:tc>
        <w:tc>
          <w:tcPr>
            <w:tcW w:w="2288" w:type="pct"/>
            <w:vAlign w:val="center"/>
          </w:tcPr>
          <w:p>
            <w:pPr>
              <w:rPr>
                <w:rFonts w:ascii="宋体" w:hAnsi="宋体"/>
                <w:szCs w:val="21"/>
              </w:rPr>
            </w:pPr>
            <w:r>
              <w:rPr>
                <w:rFonts w:hint="eastAsia" w:ascii="宋体" w:hAnsi="宋体" w:cs="宋体"/>
                <w:kern w:val="0"/>
                <w:szCs w:val="21"/>
              </w:rPr>
              <w:t>采矿业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C</w:t>
            </w:r>
          </w:p>
        </w:tc>
        <w:tc>
          <w:tcPr>
            <w:tcW w:w="2288" w:type="pct"/>
            <w:vAlign w:val="center"/>
          </w:tcPr>
          <w:p>
            <w:pPr>
              <w:rPr>
                <w:rFonts w:ascii="宋体" w:hAnsi="宋体"/>
                <w:szCs w:val="21"/>
              </w:rPr>
            </w:pPr>
            <w:r>
              <w:rPr>
                <w:rFonts w:hint="eastAsia" w:ascii="宋体" w:hAnsi="宋体" w:cs="宋体"/>
                <w:kern w:val="0"/>
                <w:szCs w:val="21"/>
              </w:rPr>
              <w:t>制造业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D</w:t>
            </w:r>
          </w:p>
        </w:tc>
        <w:tc>
          <w:tcPr>
            <w:tcW w:w="2288" w:type="pct"/>
            <w:vAlign w:val="center"/>
          </w:tcPr>
          <w:p>
            <w:pPr>
              <w:rPr>
                <w:rFonts w:ascii="宋体" w:hAnsi="宋体"/>
                <w:szCs w:val="21"/>
              </w:rPr>
            </w:pPr>
            <w:r>
              <w:rPr>
                <w:rFonts w:hint="eastAsia" w:ascii="宋体" w:hAnsi="宋体" w:cs="宋体"/>
                <w:kern w:val="0"/>
                <w:szCs w:val="21"/>
              </w:rPr>
              <w:t>电力、热力、燃气及水生产和供应业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E</w:t>
            </w:r>
          </w:p>
        </w:tc>
        <w:tc>
          <w:tcPr>
            <w:tcW w:w="2288" w:type="pct"/>
            <w:vAlign w:val="center"/>
          </w:tcPr>
          <w:p>
            <w:pPr>
              <w:rPr>
                <w:rFonts w:ascii="宋体" w:hAnsi="宋体"/>
                <w:szCs w:val="21"/>
              </w:rPr>
            </w:pPr>
            <w:r>
              <w:rPr>
                <w:rFonts w:hint="eastAsia" w:ascii="宋体" w:hAnsi="宋体" w:cs="宋体"/>
                <w:kern w:val="0"/>
                <w:szCs w:val="21"/>
              </w:rPr>
              <w:t>建筑业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F</w:t>
            </w:r>
          </w:p>
        </w:tc>
        <w:tc>
          <w:tcPr>
            <w:tcW w:w="2288" w:type="pct"/>
            <w:vAlign w:val="center"/>
          </w:tcPr>
          <w:p>
            <w:pPr>
              <w:rPr>
                <w:rFonts w:ascii="宋体" w:hAnsi="宋体"/>
                <w:szCs w:val="21"/>
              </w:rPr>
            </w:pPr>
            <w:r>
              <w:rPr>
                <w:rFonts w:hint="eastAsia" w:ascii="宋体" w:hAnsi="宋体" w:cs="宋体"/>
                <w:kern w:val="0"/>
                <w:szCs w:val="21"/>
              </w:rPr>
              <w:t>批发和零售业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G</w:t>
            </w:r>
          </w:p>
        </w:tc>
        <w:tc>
          <w:tcPr>
            <w:tcW w:w="2288" w:type="pct"/>
            <w:vAlign w:val="center"/>
          </w:tcPr>
          <w:p>
            <w:pPr>
              <w:rPr>
                <w:rFonts w:ascii="宋体" w:hAnsi="宋体"/>
                <w:szCs w:val="21"/>
              </w:rPr>
            </w:pPr>
            <w:r>
              <w:rPr>
                <w:rFonts w:hint="eastAsia" w:ascii="宋体" w:hAnsi="宋体" w:cs="宋体"/>
                <w:kern w:val="0"/>
                <w:szCs w:val="21"/>
              </w:rPr>
              <w:t>交通运输、仓储和邮政业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H</w:t>
            </w:r>
          </w:p>
        </w:tc>
        <w:tc>
          <w:tcPr>
            <w:tcW w:w="2288" w:type="pct"/>
            <w:vAlign w:val="center"/>
          </w:tcPr>
          <w:p>
            <w:pPr>
              <w:rPr>
                <w:rFonts w:ascii="宋体" w:hAnsi="宋体" w:cs="宋体"/>
                <w:kern w:val="0"/>
                <w:szCs w:val="21"/>
              </w:rPr>
            </w:pPr>
            <w:r>
              <w:rPr>
                <w:rFonts w:hint="eastAsia" w:ascii="宋体" w:hAnsi="宋体" w:cs="宋体"/>
                <w:kern w:val="0"/>
                <w:szCs w:val="21"/>
              </w:rPr>
              <w:t>住宿和餐饮业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I</w:t>
            </w:r>
          </w:p>
        </w:tc>
        <w:tc>
          <w:tcPr>
            <w:tcW w:w="2288"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J</w:t>
            </w:r>
          </w:p>
        </w:tc>
        <w:tc>
          <w:tcPr>
            <w:tcW w:w="2288" w:type="pct"/>
            <w:vAlign w:val="center"/>
          </w:tcPr>
          <w:p>
            <w:pPr>
              <w:rPr>
                <w:rFonts w:ascii="宋体" w:hAnsi="宋体" w:cs="宋体"/>
                <w:kern w:val="0"/>
                <w:szCs w:val="21"/>
              </w:rPr>
            </w:pPr>
            <w:r>
              <w:rPr>
                <w:rFonts w:hint="eastAsia" w:ascii="宋体" w:hAnsi="宋体" w:cs="宋体"/>
                <w:kern w:val="0"/>
                <w:szCs w:val="21"/>
              </w:rPr>
              <w:t>金融业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K</w:t>
            </w:r>
          </w:p>
        </w:tc>
        <w:tc>
          <w:tcPr>
            <w:tcW w:w="2288" w:type="pct"/>
            <w:vAlign w:val="center"/>
          </w:tcPr>
          <w:p>
            <w:pPr>
              <w:rPr>
                <w:rFonts w:ascii="宋体" w:hAnsi="宋体" w:cs="宋体"/>
                <w:kern w:val="0"/>
                <w:szCs w:val="21"/>
              </w:rPr>
            </w:pPr>
            <w:r>
              <w:rPr>
                <w:rFonts w:hint="eastAsia" w:ascii="宋体" w:hAnsi="宋体" w:cs="宋体"/>
                <w:kern w:val="0"/>
                <w:szCs w:val="21"/>
              </w:rPr>
              <w:t>房地产业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L</w:t>
            </w:r>
          </w:p>
        </w:tc>
        <w:tc>
          <w:tcPr>
            <w:tcW w:w="2288"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M</w:t>
            </w:r>
          </w:p>
        </w:tc>
        <w:tc>
          <w:tcPr>
            <w:tcW w:w="2288"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N</w:t>
            </w:r>
          </w:p>
        </w:tc>
        <w:tc>
          <w:tcPr>
            <w:tcW w:w="2288"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O</w:t>
            </w:r>
          </w:p>
        </w:tc>
        <w:tc>
          <w:tcPr>
            <w:tcW w:w="2288"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P</w:t>
            </w:r>
          </w:p>
        </w:tc>
        <w:tc>
          <w:tcPr>
            <w:tcW w:w="2288" w:type="pct"/>
            <w:vAlign w:val="center"/>
          </w:tcPr>
          <w:p>
            <w:pPr>
              <w:rPr>
                <w:rFonts w:ascii="宋体" w:hAnsi="宋体" w:cs="宋体"/>
                <w:kern w:val="0"/>
                <w:szCs w:val="21"/>
              </w:rPr>
            </w:pPr>
            <w:r>
              <w:rPr>
                <w:rFonts w:hint="eastAsia" w:ascii="宋体" w:hAnsi="宋体" w:cs="宋体"/>
                <w:kern w:val="0"/>
                <w:szCs w:val="21"/>
              </w:rPr>
              <w:t>教育</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Q</w:t>
            </w:r>
          </w:p>
        </w:tc>
        <w:tc>
          <w:tcPr>
            <w:tcW w:w="2288" w:type="pct"/>
            <w:vAlign w:val="center"/>
          </w:tcPr>
          <w:p>
            <w:pPr>
              <w:rPr>
                <w:rFonts w:ascii="宋体" w:hAnsi="宋体" w:cs="宋体"/>
                <w:kern w:val="0"/>
                <w:szCs w:val="21"/>
              </w:rPr>
            </w:pPr>
            <w:r>
              <w:rPr>
                <w:rFonts w:hint="eastAsia" w:ascii="宋体" w:hAnsi="宋体" w:cs="宋体"/>
                <w:kern w:val="0"/>
                <w:szCs w:val="21"/>
              </w:rPr>
              <w:t>卫生和社会工作</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R</w:t>
            </w:r>
          </w:p>
        </w:tc>
        <w:tc>
          <w:tcPr>
            <w:tcW w:w="2288"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S</w:t>
            </w:r>
          </w:p>
        </w:tc>
        <w:tc>
          <w:tcPr>
            <w:tcW w:w="2288" w:type="pct"/>
            <w:vAlign w:val="center"/>
          </w:tcPr>
          <w:p>
            <w:pPr>
              <w:rPr>
                <w:rFonts w:ascii="宋体" w:hAnsi="宋体" w:cs="宋体"/>
                <w:kern w:val="0"/>
                <w:szCs w:val="21"/>
              </w:rPr>
            </w:pPr>
            <w:r>
              <w:rPr>
                <w:rFonts w:hint="eastAsia" w:ascii="宋体" w:hAnsi="宋体" w:cs="宋体"/>
                <w:kern w:val="0"/>
                <w:szCs w:val="21"/>
              </w:rPr>
              <w:t>综合</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p>
        </w:tc>
        <w:tc>
          <w:tcPr>
            <w:tcW w:w="2288" w:type="pct"/>
            <w:vAlign w:val="center"/>
          </w:tcPr>
          <w:p>
            <w:pPr>
              <w:rPr>
                <w:rFonts w:ascii="宋体" w:hAnsi="宋体" w:cs="宋体"/>
                <w:b/>
                <w:kern w:val="0"/>
                <w:szCs w:val="21"/>
              </w:rPr>
            </w:pPr>
            <w:r>
              <w:rPr>
                <w:rFonts w:hint="eastAsia" w:ascii="宋体" w:hAnsi="宋体" w:cs="宋体"/>
                <w:b/>
                <w:kern w:val="0"/>
                <w:szCs w:val="21"/>
              </w:rPr>
              <w:t>合计</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bl>
    <w:p>
      <w:pPr>
        <w:rPr>
          <w:rFonts w:ascii="宋体" w:hAnsi="宋体"/>
        </w:rPr>
      </w:pPr>
    </w:p>
    <w:p>
      <w:pPr>
        <w:pStyle w:val="23"/>
        <w:numPr>
          <w:ilvl w:val="0"/>
          <w:numId w:val="3"/>
        </w:numPr>
        <w:ind w:firstLineChars="0"/>
        <w:jc w:val="left"/>
        <w:outlineLvl w:val="2"/>
        <w:rPr>
          <w:rFonts w:ascii="宋体" w:hAnsi="宋体"/>
        </w:rPr>
      </w:pPr>
      <w:r>
        <w:rPr>
          <w:rFonts w:hint="eastAsia" w:ascii="宋体" w:hAnsi="宋体"/>
        </w:rPr>
        <w:t>报告期末按行业</w:t>
      </w:r>
      <w:r>
        <w:rPr>
          <w:rFonts w:hint="eastAsia" w:ascii="宋体" w:hAnsi="宋体"/>
          <w:szCs w:val="21"/>
        </w:rPr>
        <w:t>分类</w:t>
      </w:r>
      <w:r>
        <w:rPr>
          <w:rFonts w:hint="eastAsia" w:ascii="宋体" w:hAnsi="宋体"/>
        </w:rPr>
        <w:t>的港股通投资股票投资组合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宋体" w:hAnsi="宋体"/>
              </w:rPr>
            </w:pPr>
            <w:r>
              <w:rPr>
                <w:rFonts w:hint="eastAsia" w:ascii="宋体" w:hAnsi="宋体"/>
              </w:rPr>
              <w:t>行业类别</w:t>
            </w:r>
          </w:p>
        </w:tc>
        <w:tc>
          <w:tcPr>
            <w:tcW w:w="2841" w:type="dxa"/>
          </w:tcPr>
          <w:p>
            <w:pPr>
              <w:jc w:val="center"/>
              <w:rPr>
                <w:rFonts w:ascii="宋体" w:hAnsi="宋体"/>
              </w:rPr>
            </w:pPr>
            <w:r>
              <w:rPr>
                <w:rFonts w:hint="eastAsia" w:ascii="宋体" w:hAnsi="宋体"/>
              </w:rPr>
              <w:t>公允价值（人民币）</w:t>
            </w:r>
          </w:p>
        </w:tc>
        <w:tc>
          <w:tcPr>
            <w:tcW w:w="2841" w:type="dxa"/>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港股通</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hint="eastAsia" w:ascii="宋体" w:hAnsi="宋体"/>
              </w:rPr>
              <w:t>合计</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bl>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基金份额变动情况</w:t>
      </w:r>
    </w:p>
    <w:p>
      <w:pPr>
        <w:adjustRightInd w:val="0"/>
        <w:snapToGrid w:val="0"/>
        <w:spacing w:line="360" w:lineRule="exact"/>
        <w:jc w:val="right"/>
        <w:rPr>
          <w:rFonts w:ascii="宋体" w:hAnsi="宋体"/>
          <w:szCs w:val="21"/>
        </w:rPr>
      </w:pPr>
      <w:r>
        <w:rPr>
          <w:rFonts w:hint="eastAsia" w:ascii="宋体" w:hAnsi="宋体"/>
          <w:b/>
          <w:color w:val="FF0000"/>
          <w:szCs w:val="21"/>
        </w:rPr>
        <w:t>单位：万份/万元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669.437477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473"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527" w:type="pct"/>
            <w:vAlign w:val="center"/>
          </w:tcPr>
          <w:p>
            <w:pPr>
              <w:adjustRightInd w:val="0"/>
              <w:snapToGrid w:val="0"/>
              <w:jc w:val="right"/>
              <w:rPr>
                <w:rFonts w:ascii="宋体" w:hAnsi="宋体"/>
                <w:kern w:val="0"/>
                <w:szCs w:val="21"/>
              </w:rPr>
            </w:pPr>
            <w:r>
              <w:rPr>
                <w:rFonts w:ascii="宋体" w:hAnsi="宋体"/>
                <w:kern w:val="0"/>
                <w:szCs w:val="21"/>
              </w:rPr>
              <w:t>669.437477</w:t>
            </w:r>
          </w:p>
        </w:tc>
      </w:tr>
    </w:tbl>
    <w:p>
      <w:pPr>
        <w:rPr>
          <w:rFonts w:ascii="宋体" w:hAnsi="宋体"/>
        </w:rPr>
      </w:pPr>
    </w:p>
    <w:p>
      <w:pPr>
        <w:jc w:val="left"/>
        <w:rPr>
          <w:rFonts w:ascii="宋体" w:hAnsi="宋体"/>
          <w:szCs w:val="21"/>
        </w:rPr>
      </w:pPr>
    </w:p>
    <w:p>
      <w:pPr>
        <w:numPr>
          <w:ilvl w:val="0"/>
          <w:numId w:val="1"/>
        </w:numPr>
        <w:ind w:left="357" w:hanging="357"/>
        <w:outlineLvl w:val="0"/>
        <w:rPr>
          <w:rFonts w:ascii="宋体" w:hAnsi="宋体"/>
          <w:b/>
          <w:szCs w:val="21"/>
        </w:rPr>
      </w:pPr>
      <w:r>
        <w:rPr>
          <w:rFonts w:hint="eastAsia" w:ascii="宋体" w:hAnsi="宋体"/>
          <w:b/>
          <w:szCs w:val="21"/>
        </w:rPr>
        <w:t>管理人报告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default" w:ascii="宋体" w:hAnsi="宋体"/>
                <w:szCs w:val="21"/>
              </w:rPr>
              <w:t>6</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以定量和定性相结合的方式选择和组合子基金，通过多策略分散投资，在严格控制风险的情况下，实现FOF的稳健增值。从策略应呈现的风险收益特征出发，对子基金进行分类，然后根据既定目标进行FOF的资产配置。截止202</w:t>
            </w:r>
            <w:r>
              <w:rPr>
                <w:rFonts w:hint="default" w:ascii="宋体" w:hAnsi="宋体"/>
                <w:szCs w:val="21"/>
              </w:rPr>
              <w:t>4</w:t>
            </w:r>
            <w:r>
              <w:rPr>
                <w:rFonts w:hint="eastAsia" w:ascii="宋体" w:hAnsi="宋体"/>
                <w:szCs w:val="21"/>
              </w:rPr>
              <w:t>年</w:t>
            </w:r>
            <w:r>
              <w:rPr>
                <w:rFonts w:hint="default" w:ascii="宋体" w:hAnsi="宋体"/>
                <w:szCs w:val="21"/>
              </w:rPr>
              <w:t>3</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日本基金期末基金单位净值为1.</w:t>
            </w:r>
            <w:r>
              <w:rPr>
                <w:rFonts w:hint="eastAsia" w:ascii="宋体" w:hAnsi="宋体"/>
                <w:szCs w:val="21"/>
                <w:lang w:val="en-US" w:eastAsia="zh-CN"/>
              </w:rPr>
              <w:t>2</w:t>
            </w:r>
            <w:r>
              <w:rPr>
                <w:rFonts w:hint="default" w:ascii="宋体" w:hAnsi="宋体"/>
                <w:szCs w:val="21"/>
                <w:lang w:eastAsia="zh-CN"/>
              </w:rPr>
              <w:t>366</w:t>
            </w:r>
            <w:r>
              <w:rPr>
                <w:rFonts w:hint="eastAsia" w:ascii="宋体" w:hAnsi="宋体"/>
                <w:szCs w:val="21"/>
              </w:rPr>
              <w:t>元，期末基金累计单位净值1.</w:t>
            </w:r>
            <w:r>
              <w:rPr>
                <w:rFonts w:hint="eastAsia" w:ascii="宋体" w:hAnsi="宋体"/>
                <w:szCs w:val="21"/>
                <w:lang w:val="en-US" w:eastAsia="zh-CN"/>
              </w:rPr>
              <w:t>2</w:t>
            </w:r>
            <w:r>
              <w:rPr>
                <w:rFonts w:hint="default" w:ascii="宋体" w:hAnsi="宋体"/>
                <w:szCs w:val="21"/>
                <w:lang w:eastAsia="zh-CN"/>
              </w:rPr>
              <w:t>3</w:t>
            </w:r>
            <w:r>
              <w:rPr>
                <w:rFonts w:hint="eastAsia" w:ascii="宋体" w:hAnsi="宋体"/>
                <w:szCs w:val="21"/>
                <w:lang w:val="en-US" w:eastAsia="zh-CN"/>
              </w:rPr>
              <w:t>66</w:t>
            </w:r>
            <w:r>
              <w:rPr>
                <w:rFonts w:hint="eastAsia" w:ascii="宋体" w:hAnsi="宋体"/>
                <w:szCs w:val="21"/>
              </w:rPr>
              <w:t>元。</w:t>
            </w:r>
          </w:p>
          <w:p>
            <w:pPr>
              <w:rPr>
                <w:rFonts w:ascii="宋体" w:hAnsi="宋体"/>
                <w:szCs w:val="21"/>
              </w:rPr>
            </w:pPr>
            <w:r>
              <w:rPr>
                <w:rFonts w:hint="default" w:ascii="宋体" w:hAnsi="宋体"/>
                <w:szCs w:val="21"/>
              </w:rPr>
              <w:t>6</w:t>
            </w:r>
            <w:r>
              <w:rPr>
                <w:rFonts w:hint="eastAsia" w:ascii="宋体" w:hAnsi="宋体"/>
                <w:szCs w:val="21"/>
              </w:rPr>
              <w:t>.2 投资经理</w:t>
            </w:r>
          </w:p>
          <w:p>
            <w:pPr>
              <w:ind w:firstLine="420" w:firstLineChars="200"/>
              <w:rPr>
                <w:rFonts w:ascii="宋体" w:hAnsi="宋体"/>
                <w:szCs w:val="21"/>
              </w:rPr>
            </w:pPr>
            <w:r>
              <w:rPr>
                <w:rFonts w:hint="eastAsia" w:ascii="宋体" w:hAnsi="宋体"/>
                <w:szCs w:val="21"/>
              </w:rPr>
              <w:t>本计划投资经理为廉正，期货从业资格编码：F3054039，本计划本报告期内未发生变更。</w:t>
            </w:r>
          </w:p>
          <w:p>
            <w:pPr>
              <w:ind w:firstLine="420" w:firstLineChars="200"/>
              <w:rPr>
                <w:rFonts w:ascii="宋体" w:hAnsi="宋体"/>
                <w:szCs w:val="21"/>
              </w:rPr>
            </w:pPr>
            <w:r>
              <w:rPr>
                <w:rFonts w:hint="eastAsia" w:ascii="宋体" w:hAnsi="宋体"/>
                <w:szCs w:val="21"/>
              </w:rPr>
              <w:t>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default" w:ascii="宋体" w:hAnsi="宋体"/>
                <w:szCs w:val="21"/>
              </w:rPr>
              <w:t>6</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default" w:ascii="宋体" w:hAnsi="宋体"/>
                <w:szCs w:val="21"/>
              </w:rPr>
              <w:t>6</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default" w:ascii="宋体" w:hAnsi="宋体"/>
                <w:szCs w:val="21"/>
              </w:rPr>
              <w:t>6</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3"/>
              <w:numPr>
                <w:ilvl w:val="0"/>
                <w:numId w:val="0"/>
              </w:numPr>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rPr>
                <w:rFonts w:ascii="宋体" w:hAnsi="宋体"/>
                <w:szCs w:val="21"/>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rPr>
      </w:pPr>
    </w:p>
    <w:p>
      <w:r>
        <w:rPr>
          <w:rFonts w:hint="eastAsia"/>
        </w:rPr>
        <w:t>信息</w:t>
      </w:r>
      <w:r>
        <w:t>披露报告是否经托管机构</w:t>
      </w:r>
      <w:r>
        <w:rPr>
          <w:rFonts w:hint="eastAsia"/>
        </w:rPr>
        <w:t>复核：是</w:t>
      </w:r>
    </w:p>
    <w:p>
      <w:pPr>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18D7"/>
    <w:multiLevelType w:val="multilevel"/>
    <w:tmpl w:val="1D6018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A2315"/>
    <w:multiLevelType w:val="multilevel"/>
    <w:tmpl w:val="4F3A2315"/>
    <w:lvl w:ilvl="0" w:tentative="0">
      <w:start w:val="1"/>
      <w:numFmt w:val="decimal"/>
      <w:lvlText w:val="4.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2A76F3"/>
    <w:multiLevelType w:val="multilevel"/>
    <w:tmpl w:val="642A76F3"/>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24E9"/>
    <w:rsid w:val="00002F99"/>
    <w:rsid w:val="00003802"/>
    <w:rsid w:val="000066EE"/>
    <w:rsid w:val="0001269E"/>
    <w:rsid w:val="00014FA8"/>
    <w:rsid w:val="000200FE"/>
    <w:rsid w:val="00024949"/>
    <w:rsid w:val="00025CDD"/>
    <w:rsid w:val="00026C25"/>
    <w:rsid w:val="0003291C"/>
    <w:rsid w:val="000339CD"/>
    <w:rsid w:val="00034901"/>
    <w:rsid w:val="000412B0"/>
    <w:rsid w:val="00050D8B"/>
    <w:rsid w:val="000537F9"/>
    <w:rsid w:val="00062DA1"/>
    <w:rsid w:val="000717BB"/>
    <w:rsid w:val="00075015"/>
    <w:rsid w:val="00081461"/>
    <w:rsid w:val="00084E34"/>
    <w:rsid w:val="00086BF9"/>
    <w:rsid w:val="0009121B"/>
    <w:rsid w:val="000967CD"/>
    <w:rsid w:val="00097267"/>
    <w:rsid w:val="00097D67"/>
    <w:rsid w:val="000A1559"/>
    <w:rsid w:val="000A58E0"/>
    <w:rsid w:val="000A615F"/>
    <w:rsid w:val="000A6756"/>
    <w:rsid w:val="000A68F5"/>
    <w:rsid w:val="000A736C"/>
    <w:rsid w:val="000A7D35"/>
    <w:rsid w:val="000B1941"/>
    <w:rsid w:val="000B3030"/>
    <w:rsid w:val="000B5166"/>
    <w:rsid w:val="000C182E"/>
    <w:rsid w:val="000C1D3E"/>
    <w:rsid w:val="000C6277"/>
    <w:rsid w:val="000C7FC7"/>
    <w:rsid w:val="000D1B4A"/>
    <w:rsid w:val="000D1E16"/>
    <w:rsid w:val="000D468C"/>
    <w:rsid w:val="000D5F49"/>
    <w:rsid w:val="000E250B"/>
    <w:rsid w:val="000E25DD"/>
    <w:rsid w:val="000E768B"/>
    <w:rsid w:val="000F00F4"/>
    <w:rsid w:val="000F1729"/>
    <w:rsid w:val="000F2D83"/>
    <w:rsid w:val="000F5556"/>
    <w:rsid w:val="000F79C2"/>
    <w:rsid w:val="0010103D"/>
    <w:rsid w:val="00102909"/>
    <w:rsid w:val="00105C85"/>
    <w:rsid w:val="00107A2D"/>
    <w:rsid w:val="00111CD1"/>
    <w:rsid w:val="00114BED"/>
    <w:rsid w:val="00116591"/>
    <w:rsid w:val="00122BF6"/>
    <w:rsid w:val="00122FBF"/>
    <w:rsid w:val="00125F9C"/>
    <w:rsid w:val="00127652"/>
    <w:rsid w:val="0013013C"/>
    <w:rsid w:val="00132137"/>
    <w:rsid w:val="00133949"/>
    <w:rsid w:val="0013710E"/>
    <w:rsid w:val="00137307"/>
    <w:rsid w:val="00141122"/>
    <w:rsid w:val="00145862"/>
    <w:rsid w:val="0015186A"/>
    <w:rsid w:val="001532BE"/>
    <w:rsid w:val="00157159"/>
    <w:rsid w:val="00163E02"/>
    <w:rsid w:val="00172A27"/>
    <w:rsid w:val="00182D46"/>
    <w:rsid w:val="001848EA"/>
    <w:rsid w:val="00186512"/>
    <w:rsid w:val="00192F0D"/>
    <w:rsid w:val="001938B4"/>
    <w:rsid w:val="0019562A"/>
    <w:rsid w:val="0019572D"/>
    <w:rsid w:val="00197489"/>
    <w:rsid w:val="001A7E44"/>
    <w:rsid w:val="001B0640"/>
    <w:rsid w:val="001B1348"/>
    <w:rsid w:val="001B3936"/>
    <w:rsid w:val="001B45BF"/>
    <w:rsid w:val="001B627D"/>
    <w:rsid w:val="001B676B"/>
    <w:rsid w:val="001C2432"/>
    <w:rsid w:val="001C496D"/>
    <w:rsid w:val="001C6144"/>
    <w:rsid w:val="001C7245"/>
    <w:rsid w:val="001D2DFB"/>
    <w:rsid w:val="001D2FE8"/>
    <w:rsid w:val="001D35D9"/>
    <w:rsid w:val="001D43BB"/>
    <w:rsid w:val="001D4E51"/>
    <w:rsid w:val="001D5927"/>
    <w:rsid w:val="001D5F6A"/>
    <w:rsid w:val="001D7F87"/>
    <w:rsid w:val="001E0913"/>
    <w:rsid w:val="001E798C"/>
    <w:rsid w:val="001F058F"/>
    <w:rsid w:val="001F0F94"/>
    <w:rsid w:val="001F30C0"/>
    <w:rsid w:val="001F5A7E"/>
    <w:rsid w:val="001F6E32"/>
    <w:rsid w:val="00202669"/>
    <w:rsid w:val="00202ED1"/>
    <w:rsid w:val="002117B2"/>
    <w:rsid w:val="00211BAE"/>
    <w:rsid w:val="00214A08"/>
    <w:rsid w:val="00214ADD"/>
    <w:rsid w:val="00222831"/>
    <w:rsid w:val="0023140E"/>
    <w:rsid w:val="00233B32"/>
    <w:rsid w:val="00233D4E"/>
    <w:rsid w:val="0023641B"/>
    <w:rsid w:val="00242A76"/>
    <w:rsid w:val="00243AA3"/>
    <w:rsid w:val="00243FE3"/>
    <w:rsid w:val="00246402"/>
    <w:rsid w:val="00256CDE"/>
    <w:rsid w:val="00257DDB"/>
    <w:rsid w:val="00261AEE"/>
    <w:rsid w:val="00261C62"/>
    <w:rsid w:val="002670E6"/>
    <w:rsid w:val="00272941"/>
    <w:rsid w:val="00274B06"/>
    <w:rsid w:val="00275A3A"/>
    <w:rsid w:val="0028076A"/>
    <w:rsid w:val="00284376"/>
    <w:rsid w:val="00287E9C"/>
    <w:rsid w:val="002923ED"/>
    <w:rsid w:val="00292EB0"/>
    <w:rsid w:val="00293747"/>
    <w:rsid w:val="00297A08"/>
    <w:rsid w:val="002A1FDC"/>
    <w:rsid w:val="002A745E"/>
    <w:rsid w:val="002B29B3"/>
    <w:rsid w:val="002B4C09"/>
    <w:rsid w:val="002B6080"/>
    <w:rsid w:val="002B7675"/>
    <w:rsid w:val="002C4876"/>
    <w:rsid w:val="002C5A5D"/>
    <w:rsid w:val="002C6126"/>
    <w:rsid w:val="002D721D"/>
    <w:rsid w:val="002E4B50"/>
    <w:rsid w:val="002F2DBC"/>
    <w:rsid w:val="002F3AF7"/>
    <w:rsid w:val="002F5F7E"/>
    <w:rsid w:val="002F64A2"/>
    <w:rsid w:val="0030033E"/>
    <w:rsid w:val="003013A0"/>
    <w:rsid w:val="00301A66"/>
    <w:rsid w:val="00306265"/>
    <w:rsid w:val="0030774B"/>
    <w:rsid w:val="0032070D"/>
    <w:rsid w:val="003260E6"/>
    <w:rsid w:val="00330476"/>
    <w:rsid w:val="0033158C"/>
    <w:rsid w:val="0033254B"/>
    <w:rsid w:val="00332A03"/>
    <w:rsid w:val="0033385A"/>
    <w:rsid w:val="003366CC"/>
    <w:rsid w:val="00336F9D"/>
    <w:rsid w:val="003379F3"/>
    <w:rsid w:val="00340233"/>
    <w:rsid w:val="003404D6"/>
    <w:rsid w:val="00342854"/>
    <w:rsid w:val="0034679C"/>
    <w:rsid w:val="0034708A"/>
    <w:rsid w:val="00352B5A"/>
    <w:rsid w:val="0035686C"/>
    <w:rsid w:val="003714E6"/>
    <w:rsid w:val="0038189B"/>
    <w:rsid w:val="003835C8"/>
    <w:rsid w:val="00395FE8"/>
    <w:rsid w:val="003A3A30"/>
    <w:rsid w:val="003A69E6"/>
    <w:rsid w:val="003A7546"/>
    <w:rsid w:val="003C0EE4"/>
    <w:rsid w:val="003C48FF"/>
    <w:rsid w:val="003C5B57"/>
    <w:rsid w:val="003C6369"/>
    <w:rsid w:val="003D7200"/>
    <w:rsid w:val="003D79BF"/>
    <w:rsid w:val="003E1CAD"/>
    <w:rsid w:val="003E2B37"/>
    <w:rsid w:val="003E444B"/>
    <w:rsid w:val="003E6352"/>
    <w:rsid w:val="003F187C"/>
    <w:rsid w:val="003F19AF"/>
    <w:rsid w:val="003F3A98"/>
    <w:rsid w:val="003F3AD6"/>
    <w:rsid w:val="003F434B"/>
    <w:rsid w:val="003F534C"/>
    <w:rsid w:val="003F599E"/>
    <w:rsid w:val="004066DD"/>
    <w:rsid w:val="00411AC9"/>
    <w:rsid w:val="00412706"/>
    <w:rsid w:val="00426637"/>
    <w:rsid w:val="00430328"/>
    <w:rsid w:val="00437422"/>
    <w:rsid w:val="00437ED7"/>
    <w:rsid w:val="00443F91"/>
    <w:rsid w:val="00444CAD"/>
    <w:rsid w:val="00445638"/>
    <w:rsid w:val="0044640B"/>
    <w:rsid w:val="004466F2"/>
    <w:rsid w:val="00453ACF"/>
    <w:rsid w:val="004540E4"/>
    <w:rsid w:val="0045585B"/>
    <w:rsid w:val="0046230D"/>
    <w:rsid w:val="00464D43"/>
    <w:rsid w:val="004663B5"/>
    <w:rsid w:val="004677C7"/>
    <w:rsid w:val="00472202"/>
    <w:rsid w:val="00472203"/>
    <w:rsid w:val="004754C7"/>
    <w:rsid w:val="004779F8"/>
    <w:rsid w:val="004813E8"/>
    <w:rsid w:val="004814E4"/>
    <w:rsid w:val="00484348"/>
    <w:rsid w:val="0048627C"/>
    <w:rsid w:val="00491EF2"/>
    <w:rsid w:val="00492F01"/>
    <w:rsid w:val="004934AA"/>
    <w:rsid w:val="00496E83"/>
    <w:rsid w:val="004A1A32"/>
    <w:rsid w:val="004A44CE"/>
    <w:rsid w:val="004B2E2D"/>
    <w:rsid w:val="004B4906"/>
    <w:rsid w:val="004B5C9E"/>
    <w:rsid w:val="004B6FF8"/>
    <w:rsid w:val="004C0146"/>
    <w:rsid w:val="004C35CB"/>
    <w:rsid w:val="004C3D8E"/>
    <w:rsid w:val="004C4D81"/>
    <w:rsid w:val="004D0A91"/>
    <w:rsid w:val="004D5733"/>
    <w:rsid w:val="004E1A2B"/>
    <w:rsid w:val="004E282E"/>
    <w:rsid w:val="004E313A"/>
    <w:rsid w:val="004E4C8D"/>
    <w:rsid w:val="004F025F"/>
    <w:rsid w:val="00501645"/>
    <w:rsid w:val="00507EFB"/>
    <w:rsid w:val="005160FD"/>
    <w:rsid w:val="00516BAF"/>
    <w:rsid w:val="00520183"/>
    <w:rsid w:val="00521D8D"/>
    <w:rsid w:val="00522FAE"/>
    <w:rsid w:val="0053673E"/>
    <w:rsid w:val="00540B0A"/>
    <w:rsid w:val="00543525"/>
    <w:rsid w:val="00544760"/>
    <w:rsid w:val="0055241E"/>
    <w:rsid w:val="00553541"/>
    <w:rsid w:val="00554154"/>
    <w:rsid w:val="00556310"/>
    <w:rsid w:val="00565C71"/>
    <w:rsid w:val="0057519C"/>
    <w:rsid w:val="00576520"/>
    <w:rsid w:val="00582FC3"/>
    <w:rsid w:val="005832C2"/>
    <w:rsid w:val="005851DB"/>
    <w:rsid w:val="005929FF"/>
    <w:rsid w:val="00594A12"/>
    <w:rsid w:val="00594B4C"/>
    <w:rsid w:val="005A3DA6"/>
    <w:rsid w:val="005A56B4"/>
    <w:rsid w:val="005A69BF"/>
    <w:rsid w:val="005A6B1A"/>
    <w:rsid w:val="005A716F"/>
    <w:rsid w:val="005B1F1D"/>
    <w:rsid w:val="005B23CD"/>
    <w:rsid w:val="005B5EE1"/>
    <w:rsid w:val="005B6719"/>
    <w:rsid w:val="005B6D84"/>
    <w:rsid w:val="005B726F"/>
    <w:rsid w:val="005C0603"/>
    <w:rsid w:val="005D026D"/>
    <w:rsid w:val="005D0709"/>
    <w:rsid w:val="005D1508"/>
    <w:rsid w:val="005D1BDA"/>
    <w:rsid w:val="005D2BE4"/>
    <w:rsid w:val="005D3CDA"/>
    <w:rsid w:val="005D4C98"/>
    <w:rsid w:val="005D578B"/>
    <w:rsid w:val="005E5D45"/>
    <w:rsid w:val="005F1A70"/>
    <w:rsid w:val="005F2A34"/>
    <w:rsid w:val="005F5B27"/>
    <w:rsid w:val="00600D9E"/>
    <w:rsid w:val="00601FF8"/>
    <w:rsid w:val="006054BA"/>
    <w:rsid w:val="00606CC3"/>
    <w:rsid w:val="00613E52"/>
    <w:rsid w:val="00624F15"/>
    <w:rsid w:val="00631B20"/>
    <w:rsid w:val="00631DBF"/>
    <w:rsid w:val="00634C95"/>
    <w:rsid w:val="006352BC"/>
    <w:rsid w:val="0064021B"/>
    <w:rsid w:val="006410CA"/>
    <w:rsid w:val="00641A9B"/>
    <w:rsid w:val="00642E58"/>
    <w:rsid w:val="006474E4"/>
    <w:rsid w:val="0065114B"/>
    <w:rsid w:val="006535CF"/>
    <w:rsid w:val="00656750"/>
    <w:rsid w:val="00656A91"/>
    <w:rsid w:val="00660A74"/>
    <w:rsid w:val="00660D18"/>
    <w:rsid w:val="006620B6"/>
    <w:rsid w:val="00671558"/>
    <w:rsid w:val="00671571"/>
    <w:rsid w:val="006719D2"/>
    <w:rsid w:val="00674229"/>
    <w:rsid w:val="00681B6C"/>
    <w:rsid w:val="00684179"/>
    <w:rsid w:val="00685E5F"/>
    <w:rsid w:val="00693D05"/>
    <w:rsid w:val="006978D1"/>
    <w:rsid w:val="006B0621"/>
    <w:rsid w:val="006B3976"/>
    <w:rsid w:val="006B40EF"/>
    <w:rsid w:val="006B6D2F"/>
    <w:rsid w:val="006C1263"/>
    <w:rsid w:val="006D7922"/>
    <w:rsid w:val="006E47C4"/>
    <w:rsid w:val="006E7C9A"/>
    <w:rsid w:val="006F0EA8"/>
    <w:rsid w:val="006F44F3"/>
    <w:rsid w:val="00701CF4"/>
    <w:rsid w:val="00705C79"/>
    <w:rsid w:val="00705C88"/>
    <w:rsid w:val="007120DD"/>
    <w:rsid w:val="00713BD0"/>
    <w:rsid w:val="007157A3"/>
    <w:rsid w:val="0071676E"/>
    <w:rsid w:val="007219CD"/>
    <w:rsid w:val="00725899"/>
    <w:rsid w:val="007263BA"/>
    <w:rsid w:val="0072742F"/>
    <w:rsid w:val="0073119B"/>
    <w:rsid w:val="00731FBE"/>
    <w:rsid w:val="0073327B"/>
    <w:rsid w:val="0073733C"/>
    <w:rsid w:val="00740556"/>
    <w:rsid w:val="00741FF9"/>
    <w:rsid w:val="00743C8B"/>
    <w:rsid w:val="00745B35"/>
    <w:rsid w:val="00745C18"/>
    <w:rsid w:val="00746BFE"/>
    <w:rsid w:val="00753D48"/>
    <w:rsid w:val="00754AA0"/>
    <w:rsid w:val="00756676"/>
    <w:rsid w:val="00763758"/>
    <w:rsid w:val="00766D8E"/>
    <w:rsid w:val="007753BE"/>
    <w:rsid w:val="0078103D"/>
    <w:rsid w:val="007825D1"/>
    <w:rsid w:val="00783D68"/>
    <w:rsid w:val="00786BBE"/>
    <w:rsid w:val="007916FC"/>
    <w:rsid w:val="0079205C"/>
    <w:rsid w:val="00792791"/>
    <w:rsid w:val="00795914"/>
    <w:rsid w:val="007A1A7D"/>
    <w:rsid w:val="007A3905"/>
    <w:rsid w:val="007A5476"/>
    <w:rsid w:val="007B39ED"/>
    <w:rsid w:val="007B3F69"/>
    <w:rsid w:val="007C0F88"/>
    <w:rsid w:val="007C1DE1"/>
    <w:rsid w:val="007D14B6"/>
    <w:rsid w:val="007D5414"/>
    <w:rsid w:val="007D7AA7"/>
    <w:rsid w:val="007E05AF"/>
    <w:rsid w:val="007E1F29"/>
    <w:rsid w:val="007E4E6B"/>
    <w:rsid w:val="007F4D3E"/>
    <w:rsid w:val="00804038"/>
    <w:rsid w:val="00804EB8"/>
    <w:rsid w:val="008062DF"/>
    <w:rsid w:val="008068EB"/>
    <w:rsid w:val="00811DAD"/>
    <w:rsid w:val="00816EF8"/>
    <w:rsid w:val="008176A3"/>
    <w:rsid w:val="00831491"/>
    <w:rsid w:val="008321C0"/>
    <w:rsid w:val="00832859"/>
    <w:rsid w:val="00836F64"/>
    <w:rsid w:val="008420A8"/>
    <w:rsid w:val="00844A2F"/>
    <w:rsid w:val="00846B07"/>
    <w:rsid w:val="008500EB"/>
    <w:rsid w:val="00851F77"/>
    <w:rsid w:val="00852DA5"/>
    <w:rsid w:val="00852F90"/>
    <w:rsid w:val="00857DA3"/>
    <w:rsid w:val="00857F2C"/>
    <w:rsid w:val="008601EF"/>
    <w:rsid w:val="00863F7B"/>
    <w:rsid w:val="00865C33"/>
    <w:rsid w:val="0087049E"/>
    <w:rsid w:val="0087736C"/>
    <w:rsid w:val="00877EF2"/>
    <w:rsid w:val="00882846"/>
    <w:rsid w:val="008870E9"/>
    <w:rsid w:val="00887173"/>
    <w:rsid w:val="00887636"/>
    <w:rsid w:val="00887DC3"/>
    <w:rsid w:val="008970FB"/>
    <w:rsid w:val="008A1BC8"/>
    <w:rsid w:val="008A56B4"/>
    <w:rsid w:val="008B24D3"/>
    <w:rsid w:val="008B2BBC"/>
    <w:rsid w:val="008B33E1"/>
    <w:rsid w:val="008B6695"/>
    <w:rsid w:val="008C0DAE"/>
    <w:rsid w:val="008C13C9"/>
    <w:rsid w:val="008C5087"/>
    <w:rsid w:val="008D053C"/>
    <w:rsid w:val="008E0193"/>
    <w:rsid w:val="008E4F6C"/>
    <w:rsid w:val="008E5959"/>
    <w:rsid w:val="008F0115"/>
    <w:rsid w:val="008F0F92"/>
    <w:rsid w:val="008F2612"/>
    <w:rsid w:val="008F2B68"/>
    <w:rsid w:val="008F39F3"/>
    <w:rsid w:val="008F5AC7"/>
    <w:rsid w:val="00905C35"/>
    <w:rsid w:val="00906FCE"/>
    <w:rsid w:val="009122E4"/>
    <w:rsid w:val="0091252C"/>
    <w:rsid w:val="00917063"/>
    <w:rsid w:val="009175DE"/>
    <w:rsid w:val="009213C0"/>
    <w:rsid w:val="00924D59"/>
    <w:rsid w:val="0092582F"/>
    <w:rsid w:val="00926868"/>
    <w:rsid w:val="00926F51"/>
    <w:rsid w:val="00926F7C"/>
    <w:rsid w:val="0093226A"/>
    <w:rsid w:val="00950584"/>
    <w:rsid w:val="009526EE"/>
    <w:rsid w:val="00954D06"/>
    <w:rsid w:val="0095703E"/>
    <w:rsid w:val="009613DC"/>
    <w:rsid w:val="00964731"/>
    <w:rsid w:val="009676F2"/>
    <w:rsid w:val="009708B7"/>
    <w:rsid w:val="00971D98"/>
    <w:rsid w:val="0097383D"/>
    <w:rsid w:val="00976065"/>
    <w:rsid w:val="00982F92"/>
    <w:rsid w:val="009840F1"/>
    <w:rsid w:val="009853D9"/>
    <w:rsid w:val="0098559D"/>
    <w:rsid w:val="00986E21"/>
    <w:rsid w:val="00987ECD"/>
    <w:rsid w:val="0099315D"/>
    <w:rsid w:val="009940FF"/>
    <w:rsid w:val="009945E3"/>
    <w:rsid w:val="009A4851"/>
    <w:rsid w:val="009A637E"/>
    <w:rsid w:val="009B41A2"/>
    <w:rsid w:val="009C36B3"/>
    <w:rsid w:val="009D1EB1"/>
    <w:rsid w:val="009D3412"/>
    <w:rsid w:val="009D3839"/>
    <w:rsid w:val="009D4179"/>
    <w:rsid w:val="009D4D69"/>
    <w:rsid w:val="009D53FF"/>
    <w:rsid w:val="009E20BE"/>
    <w:rsid w:val="009E5A0D"/>
    <w:rsid w:val="009E5CF0"/>
    <w:rsid w:val="00A044F2"/>
    <w:rsid w:val="00A0750F"/>
    <w:rsid w:val="00A11882"/>
    <w:rsid w:val="00A12226"/>
    <w:rsid w:val="00A1441E"/>
    <w:rsid w:val="00A15155"/>
    <w:rsid w:val="00A17246"/>
    <w:rsid w:val="00A17653"/>
    <w:rsid w:val="00A20A49"/>
    <w:rsid w:val="00A23469"/>
    <w:rsid w:val="00A26A8E"/>
    <w:rsid w:val="00A27F9C"/>
    <w:rsid w:val="00A31605"/>
    <w:rsid w:val="00A34F66"/>
    <w:rsid w:val="00A3508E"/>
    <w:rsid w:val="00A36338"/>
    <w:rsid w:val="00A37D4A"/>
    <w:rsid w:val="00A41258"/>
    <w:rsid w:val="00A4594C"/>
    <w:rsid w:val="00A655FD"/>
    <w:rsid w:val="00A6692E"/>
    <w:rsid w:val="00A71121"/>
    <w:rsid w:val="00A71B9E"/>
    <w:rsid w:val="00A74138"/>
    <w:rsid w:val="00A753B3"/>
    <w:rsid w:val="00A839B3"/>
    <w:rsid w:val="00A85109"/>
    <w:rsid w:val="00A915EE"/>
    <w:rsid w:val="00A92B4A"/>
    <w:rsid w:val="00AA1741"/>
    <w:rsid w:val="00AA25AA"/>
    <w:rsid w:val="00AA32F3"/>
    <w:rsid w:val="00AB2DE2"/>
    <w:rsid w:val="00AC0EFB"/>
    <w:rsid w:val="00AC1C74"/>
    <w:rsid w:val="00AC2E3E"/>
    <w:rsid w:val="00AC301F"/>
    <w:rsid w:val="00AC3DD6"/>
    <w:rsid w:val="00AC60DE"/>
    <w:rsid w:val="00AC674D"/>
    <w:rsid w:val="00AC7D60"/>
    <w:rsid w:val="00AD199B"/>
    <w:rsid w:val="00AD2D88"/>
    <w:rsid w:val="00AD6B69"/>
    <w:rsid w:val="00AD701F"/>
    <w:rsid w:val="00AE62C0"/>
    <w:rsid w:val="00AE7C9E"/>
    <w:rsid w:val="00B02B95"/>
    <w:rsid w:val="00B03108"/>
    <w:rsid w:val="00B054F0"/>
    <w:rsid w:val="00B05E8A"/>
    <w:rsid w:val="00B1130E"/>
    <w:rsid w:val="00B11F9A"/>
    <w:rsid w:val="00B13A6F"/>
    <w:rsid w:val="00B2787C"/>
    <w:rsid w:val="00B34A45"/>
    <w:rsid w:val="00B36370"/>
    <w:rsid w:val="00B3786F"/>
    <w:rsid w:val="00B44E9E"/>
    <w:rsid w:val="00B504E0"/>
    <w:rsid w:val="00B5410A"/>
    <w:rsid w:val="00B5544F"/>
    <w:rsid w:val="00B7333D"/>
    <w:rsid w:val="00B73799"/>
    <w:rsid w:val="00B84C02"/>
    <w:rsid w:val="00B91218"/>
    <w:rsid w:val="00B94BF2"/>
    <w:rsid w:val="00B96670"/>
    <w:rsid w:val="00B96B3D"/>
    <w:rsid w:val="00B96B5F"/>
    <w:rsid w:val="00BA1778"/>
    <w:rsid w:val="00BA4BE9"/>
    <w:rsid w:val="00BA7956"/>
    <w:rsid w:val="00BB32EB"/>
    <w:rsid w:val="00BB5B8C"/>
    <w:rsid w:val="00BC24E8"/>
    <w:rsid w:val="00BC29BB"/>
    <w:rsid w:val="00BC73D6"/>
    <w:rsid w:val="00BD0DDE"/>
    <w:rsid w:val="00BD5B05"/>
    <w:rsid w:val="00BD79B3"/>
    <w:rsid w:val="00BE62B1"/>
    <w:rsid w:val="00BF4C2D"/>
    <w:rsid w:val="00BF5243"/>
    <w:rsid w:val="00BF56A5"/>
    <w:rsid w:val="00C032B7"/>
    <w:rsid w:val="00C03EE8"/>
    <w:rsid w:val="00C042FB"/>
    <w:rsid w:val="00C06A9A"/>
    <w:rsid w:val="00C06D4C"/>
    <w:rsid w:val="00C1164D"/>
    <w:rsid w:val="00C13F5C"/>
    <w:rsid w:val="00C14A98"/>
    <w:rsid w:val="00C14D32"/>
    <w:rsid w:val="00C1591C"/>
    <w:rsid w:val="00C208AF"/>
    <w:rsid w:val="00C41764"/>
    <w:rsid w:val="00C43EC0"/>
    <w:rsid w:val="00C44FE6"/>
    <w:rsid w:val="00C45075"/>
    <w:rsid w:val="00C454A6"/>
    <w:rsid w:val="00C578A6"/>
    <w:rsid w:val="00C57BF8"/>
    <w:rsid w:val="00C61084"/>
    <w:rsid w:val="00C62351"/>
    <w:rsid w:val="00C66428"/>
    <w:rsid w:val="00C6739F"/>
    <w:rsid w:val="00C70E89"/>
    <w:rsid w:val="00C72802"/>
    <w:rsid w:val="00C77D21"/>
    <w:rsid w:val="00C80879"/>
    <w:rsid w:val="00C84367"/>
    <w:rsid w:val="00C85669"/>
    <w:rsid w:val="00C96292"/>
    <w:rsid w:val="00CA124A"/>
    <w:rsid w:val="00CA1A01"/>
    <w:rsid w:val="00CA2635"/>
    <w:rsid w:val="00CA2650"/>
    <w:rsid w:val="00CA33C6"/>
    <w:rsid w:val="00CA72DE"/>
    <w:rsid w:val="00CB0F4C"/>
    <w:rsid w:val="00CC1ACB"/>
    <w:rsid w:val="00CC7670"/>
    <w:rsid w:val="00CC7882"/>
    <w:rsid w:val="00CD5F40"/>
    <w:rsid w:val="00CE1B37"/>
    <w:rsid w:val="00CE570A"/>
    <w:rsid w:val="00CF1A56"/>
    <w:rsid w:val="00CF2B95"/>
    <w:rsid w:val="00CF4B0C"/>
    <w:rsid w:val="00CF5CE2"/>
    <w:rsid w:val="00CF798E"/>
    <w:rsid w:val="00D02E9B"/>
    <w:rsid w:val="00D102BC"/>
    <w:rsid w:val="00D119E8"/>
    <w:rsid w:val="00D12720"/>
    <w:rsid w:val="00D14197"/>
    <w:rsid w:val="00D16B2E"/>
    <w:rsid w:val="00D17A6C"/>
    <w:rsid w:val="00D2150D"/>
    <w:rsid w:val="00D26C41"/>
    <w:rsid w:val="00D27C32"/>
    <w:rsid w:val="00D3001A"/>
    <w:rsid w:val="00D36860"/>
    <w:rsid w:val="00D41C29"/>
    <w:rsid w:val="00D43E65"/>
    <w:rsid w:val="00D46528"/>
    <w:rsid w:val="00D5208D"/>
    <w:rsid w:val="00D60C4A"/>
    <w:rsid w:val="00D663F3"/>
    <w:rsid w:val="00D675CD"/>
    <w:rsid w:val="00D75FE1"/>
    <w:rsid w:val="00D769F0"/>
    <w:rsid w:val="00D804C1"/>
    <w:rsid w:val="00D81916"/>
    <w:rsid w:val="00D839BD"/>
    <w:rsid w:val="00D94F1C"/>
    <w:rsid w:val="00DB0243"/>
    <w:rsid w:val="00DB432F"/>
    <w:rsid w:val="00DC1A7E"/>
    <w:rsid w:val="00DD036A"/>
    <w:rsid w:val="00DD0D10"/>
    <w:rsid w:val="00DD1A05"/>
    <w:rsid w:val="00DD4846"/>
    <w:rsid w:val="00DD6ABE"/>
    <w:rsid w:val="00DE4841"/>
    <w:rsid w:val="00DE72B1"/>
    <w:rsid w:val="00DF107E"/>
    <w:rsid w:val="00DF1AD7"/>
    <w:rsid w:val="00DF1EC5"/>
    <w:rsid w:val="00DF24AF"/>
    <w:rsid w:val="00DF38BF"/>
    <w:rsid w:val="00DF4306"/>
    <w:rsid w:val="00DF56D9"/>
    <w:rsid w:val="00E00D03"/>
    <w:rsid w:val="00E03050"/>
    <w:rsid w:val="00E05131"/>
    <w:rsid w:val="00E06EA5"/>
    <w:rsid w:val="00E10588"/>
    <w:rsid w:val="00E1226A"/>
    <w:rsid w:val="00E13AA3"/>
    <w:rsid w:val="00E20460"/>
    <w:rsid w:val="00E2380E"/>
    <w:rsid w:val="00E240E2"/>
    <w:rsid w:val="00E35BC6"/>
    <w:rsid w:val="00E36131"/>
    <w:rsid w:val="00E42990"/>
    <w:rsid w:val="00E4414E"/>
    <w:rsid w:val="00E456F3"/>
    <w:rsid w:val="00E50E1C"/>
    <w:rsid w:val="00E5158D"/>
    <w:rsid w:val="00E52016"/>
    <w:rsid w:val="00E520DC"/>
    <w:rsid w:val="00E60606"/>
    <w:rsid w:val="00E60AD3"/>
    <w:rsid w:val="00E61EE2"/>
    <w:rsid w:val="00E67A6B"/>
    <w:rsid w:val="00E67D9F"/>
    <w:rsid w:val="00E7134C"/>
    <w:rsid w:val="00E71BDD"/>
    <w:rsid w:val="00E73919"/>
    <w:rsid w:val="00E82413"/>
    <w:rsid w:val="00E82D27"/>
    <w:rsid w:val="00E84C06"/>
    <w:rsid w:val="00E85857"/>
    <w:rsid w:val="00E90CE1"/>
    <w:rsid w:val="00E93210"/>
    <w:rsid w:val="00E952C6"/>
    <w:rsid w:val="00E97ECF"/>
    <w:rsid w:val="00EA15A7"/>
    <w:rsid w:val="00EA18E3"/>
    <w:rsid w:val="00EA1FB4"/>
    <w:rsid w:val="00EB6C44"/>
    <w:rsid w:val="00EB706D"/>
    <w:rsid w:val="00EC0AA2"/>
    <w:rsid w:val="00EC3D4F"/>
    <w:rsid w:val="00EC5B60"/>
    <w:rsid w:val="00EC75E9"/>
    <w:rsid w:val="00ED6F0D"/>
    <w:rsid w:val="00ED71A7"/>
    <w:rsid w:val="00ED7500"/>
    <w:rsid w:val="00EE6441"/>
    <w:rsid w:val="00EF12A4"/>
    <w:rsid w:val="00EF2AB2"/>
    <w:rsid w:val="00F03951"/>
    <w:rsid w:val="00F05B1C"/>
    <w:rsid w:val="00F06223"/>
    <w:rsid w:val="00F079CC"/>
    <w:rsid w:val="00F2044B"/>
    <w:rsid w:val="00F220BC"/>
    <w:rsid w:val="00F23EE9"/>
    <w:rsid w:val="00F31359"/>
    <w:rsid w:val="00F42117"/>
    <w:rsid w:val="00F46EFA"/>
    <w:rsid w:val="00F470D5"/>
    <w:rsid w:val="00F475EF"/>
    <w:rsid w:val="00F539E6"/>
    <w:rsid w:val="00F54B92"/>
    <w:rsid w:val="00F673AC"/>
    <w:rsid w:val="00F7507F"/>
    <w:rsid w:val="00F7544A"/>
    <w:rsid w:val="00F76889"/>
    <w:rsid w:val="00F82DA1"/>
    <w:rsid w:val="00F830A8"/>
    <w:rsid w:val="00F869E4"/>
    <w:rsid w:val="00F938E8"/>
    <w:rsid w:val="00F93D89"/>
    <w:rsid w:val="00F93F7D"/>
    <w:rsid w:val="00FA5D0B"/>
    <w:rsid w:val="00FA721A"/>
    <w:rsid w:val="00FB2395"/>
    <w:rsid w:val="00FB4095"/>
    <w:rsid w:val="00FB4ACF"/>
    <w:rsid w:val="00FB754B"/>
    <w:rsid w:val="00FC5DA5"/>
    <w:rsid w:val="00FC7CAC"/>
    <w:rsid w:val="00FD29F4"/>
    <w:rsid w:val="00FD4D1E"/>
    <w:rsid w:val="00FD63BE"/>
    <w:rsid w:val="00FF4729"/>
    <w:rsid w:val="00FF6107"/>
    <w:rsid w:val="00FF636E"/>
    <w:rsid w:val="17FD6593"/>
    <w:rsid w:val="26B441B9"/>
    <w:rsid w:val="3B331A18"/>
    <w:rsid w:val="605F3535"/>
    <w:rsid w:val="6BB16C68"/>
    <w:rsid w:val="7D213B3A"/>
    <w:rsid w:val="D35FC9EF"/>
    <w:rsid w:val="E677F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7"/>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0"/>
    <w:semiHidden/>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4"/>
    <w:semiHidden/>
    <w:unhideWhenUsed/>
    <w:qFormat/>
    <w:uiPriority w:val="99"/>
    <w:pPr>
      <w:snapToGrid w:val="0"/>
      <w:jc w:val="left"/>
    </w:pPr>
    <w:rPr>
      <w:sz w:val="18"/>
      <w:szCs w:val="18"/>
    </w:rPr>
  </w:style>
  <w:style w:type="paragraph" w:styleId="10">
    <w:name w:val="annotation subject"/>
    <w:basedOn w:val="5"/>
    <w:next w:val="5"/>
    <w:link w:val="26"/>
    <w:semiHidden/>
    <w:unhideWhenUsed/>
    <w:qFormat/>
    <w:uiPriority w:val="99"/>
    <w:rPr>
      <w:b/>
      <w:bCs/>
    </w:rPr>
  </w:style>
  <w:style w:type="table" w:styleId="12">
    <w:name w:val="Table Grid"/>
    <w:basedOn w:val="1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unhideWhenUsed/>
    <w:qFormat/>
    <w:uiPriority w:val="99"/>
    <w:rPr>
      <w:sz w:val="21"/>
      <w:szCs w:val="21"/>
    </w:rPr>
  </w:style>
  <w:style w:type="character" w:styleId="15">
    <w:name w:val="footnote reference"/>
    <w:qFormat/>
    <w:uiPriority w:val="0"/>
    <w:rPr>
      <w:vertAlign w:val="superscript"/>
    </w:rPr>
  </w:style>
  <w:style w:type="table" w:customStyle="1" w:styleId="16">
    <w:name w:val="网格型1"/>
    <w:basedOn w:val="1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6 Char"/>
    <w:link w:val="3"/>
    <w:qFormat/>
    <w:uiPriority w:val="9"/>
    <w:rPr>
      <w:rFonts w:ascii="Cambria" w:hAnsi="Cambria"/>
      <w:b/>
      <w:bCs/>
      <w:kern w:val="2"/>
      <w:sz w:val="24"/>
      <w:szCs w:val="24"/>
    </w:rPr>
  </w:style>
  <w:style w:type="table" w:customStyle="1" w:styleId="18">
    <w:name w:val="网格型2"/>
    <w:basedOn w:val="1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2"/>
    <w:qFormat/>
    <w:uiPriority w:val="9"/>
    <w:rPr>
      <w:b/>
      <w:bCs/>
      <w:kern w:val="44"/>
      <w:sz w:val="44"/>
      <w:szCs w:val="44"/>
    </w:rPr>
  </w:style>
  <w:style w:type="character" w:customStyle="1" w:styleId="20">
    <w:name w:val="标题 7 Char"/>
    <w:link w:val="4"/>
    <w:semiHidden/>
    <w:qFormat/>
    <w:uiPriority w:val="9"/>
    <w:rPr>
      <w:b/>
      <w:bCs/>
      <w:kern w:val="2"/>
      <w:sz w:val="24"/>
      <w:szCs w:val="24"/>
    </w:rPr>
  </w:style>
  <w:style w:type="character" w:customStyle="1" w:styleId="21">
    <w:name w:val="页脚 Char"/>
    <w:link w:val="7"/>
    <w:qFormat/>
    <w:uiPriority w:val="99"/>
    <w:rPr>
      <w:kern w:val="2"/>
      <w:sz w:val="18"/>
    </w:rPr>
  </w:style>
  <w:style w:type="character" w:customStyle="1" w:styleId="22">
    <w:name w:val="批注框文本 Char"/>
    <w:link w:val="6"/>
    <w:semiHidden/>
    <w:qFormat/>
    <w:uiPriority w:val="99"/>
    <w:rPr>
      <w:kern w:val="2"/>
      <w:sz w:val="18"/>
      <w:szCs w:val="18"/>
    </w:rPr>
  </w:style>
  <w:style w:type="paragraph" w:styleId="23">
    <w:name w:val="List Paragraph"/>
    <w:basedOn w:val="1"/>
    <w:qFormat/>
    <w:uiPriority w:val="99"/>
    <w:pPr>
      <w:ind w:firstLine="420" w:firstLineChars="200"/>
    </w:pPr>
  </w:style>
  <w:style w:type="character" w:customStyle="1" w:styleId="24">
    <w:name w:val="脚注文本 Char"/>
    <w:link w:val="9"/>
    <w:semiHidden/>
    <w:qFormat/>
    <w:uiPriority w:val="99"/>
    <w:rPr>
      <w:kern w:val="2"/>
      <w:sz w:val="18"/>
      <w:szCs w:val="18"/>
    </w:rPr>
  </w:style>
  <w:style w:type="character" w:customStyle="1" w:styleId="25">
    <w:name w:val="批注文字 Char"/>
    <w:link w:val="5"/>
    <w:semiHidden/>
    <w:qFormat/>
    <w:uiPriority w:val="99"/>
    <w:rPr>
      <w:kern w:val="2"/>
      <w:sz w:val="21"/>
    </w:rPr>
  </w:style>
  <w:style w:type="character" w:customStyle="1" w:styleId="26">
    <w:name w:val="批注主题 Char"/>
    <w:link w:val="10"/>
    <w:semiHidden/>
    <w:qFormat/>
    <w:uiPriority w:val="99"/>
    <w:rPr>
      <w:b/>
      <w:bCs/>
      <w:kern w:val="2"/>
      <w:sz w:val="21"/>
    </w:rPr>
  </w:style>
  <w:style w:type="character" w:styleId="27">
    <w:name w:val="Placeholder Text"/>
    <w:basedOn w:val="13"/>
    <w:unhideWhenUsed/>
    <w:qFormat/>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1097</Characters>
  <Lines>9</Lines>
  <Paragraphs>7</Paragraphs>
  <TotalTime>32</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2024-04-12T01:12:00Z</dcterms:created>
  <dc:creator>wfy</dc:creator>
  <cp:lastModifiedBy>孙雯</cp:lastModifiedBy>
  <dcterms:modified xsi:type="dcterms:W3CDTF">2024-04-17T06:24:56Z</dcterms:modified>
  <dc:title>证券投资基金信息披露报表</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77E6B839801A3D9B874817664DF6B632_42</vt:lpwstr>
  </property>
</Properties>
</file>