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48"/>
        </w:rPr>
      </w:pPr>
    </w:p>
    <w:p>
      <w:pPr>
        <w:rPr>
          <w:sz w:val="48"/>
        </w:rPr>
      </w:pPr>
    </w:p>
    <w:p>
      <w:pPr>
        <w:jc w:val="center"/>
        <w:rPr>
          <w:rFonts w:hint="eastAsia" w:ascii="宋体" w:hAnsi="宋体"/>
          <w:b/>
          <w:bCs/>
          <w:sz w:val="48"/>
          <w:szCs w:val="30"/>
        </w:rPr>
      </w:pPr>
    </w:p>
    <w:p>
      <w:pPr>
        <w:jc w:val="center"/>
        <w:rPr>
          <w:rFonts w:hint="eastAsia" w:ascii="宋体" w:hAnsi="宋体"/>
          <w:b/>
          <w:bCs/>
          <w:sz w:val="48"/>
          <w:szCs w:val="30"/>
        </w:rPr>
      </w:pPr>
    </w:p>
    <w:p>
      <w:pPr>
        <w:jc w:val="center"/>
        <w:rPr>
          <w:rFonts w:hint="eastAsia" w:ascii="宋体" w:hAnsi="宋体"/>
          <w:b/>
          <w:bCs/>
          <w:sz w:val="48"/>
          <w:szCs w:val="30"/>
        </w:rPr>
      </w:pPr>
    </w:p>
    <w:p>
      <w:pPr>
        <w:jc w:val="center"/>
        <w:rPr>
          <w:rFonts w:hint="eastAsia" w:ascii="宋体" w:hAnsi="宋体"/>
          <w:b/>
          <w:bCs/>
          <w:sz w:val="48"/>
          <w:szCs w:val="30"/>
        </w:rPr>
      </w:pPr>
    </w:p>
    <w:p>
      <w:pPr>
        <w:jc w:val="center"/>
        <w:rPr>
          <w:rFonts w:hint="eastAsia" w:ascii="宋体" w:hAnsi="宋体"/>
          <w:b/>
          <w:bCs/>
          <w:sz w:val="48"/>
          <w:szCs w:val="30"/>
        </w:rPr>
      </w:pPr>
    </w:p>
    <w:p>
      <w:pPr>
        <w:jc w:val="center"/>
        <w:rPr>
          <w:rFonts w:hint="eastAsia" w:ascii="宋体" w:hAnsi="宋体"/>
          <w:b/>
          <w:bCs/>
          <w:sz w:val="48"/>
          <w:szCs w:val="30"/>
        </w:rPr>
      </w:pPr>
    </w:p>
    <w:p>
      <w:pPr>
        <w:jc w:val="center"/>
        <w:rPr>
          <w:rFonts w:ascii="宋体" w:hAnsi="宋体"/>
          <w:b/>
          <w:bCs/>
          <w:sz w:val="48"/>
          <w:szCs w:val="30"/>
        </w:rPr>
      </w:pPr>
      <w:r>
        <w:rPr>
          <w:rFonts w:hint="eastAsia" w:ascii="宋体" w:hAnsi="宋体"/>
          <w:b/>
          <w:bCs/>
          <w:sz w:val="48"/>
          <w:szCs w:val="30"/>
        </w:rPr>
        <w:t>兴证期货-福开1号单一资产管理计划</w:t>
      </w:r>
    </w:p>
    <w:p>
      <w:pPr>
        <w:jc w:val="center"/>
        <w:rPr>
          <w:rFonts w:ascii="宋体" w:hAnsi="宋体"/>
          <w:b/>
          <w:bCs/>
          <w:sz w:val="48"/>
          <w:szCs w:val="30"/>
        </w:rPr>
      </w:pPr>
      <w:r>
        <w:rPr>
          <w:rFonts w:ascii="宋体" w:hAnsi="宋体"/>
          <w:b/>
          <w:bCs/>
          <w:sz w:val="48"/>
          <w:szCs w:val="30"/>
        </w:rPr>
        <w:t>2024年第1季度报告</w:t>
      </w:r>
    </w:p>
    <w:p>
      <w:pPr>
        <w:jc w:val="center"/>
        <w:rPr>
          <w:rFonts w:ascii="宋体" w:hAnsi="宋体"/>
          <w:b/>
          <w:bCs/>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both"/>
        <w:rPr>
          <w:rFonts w:ascii="宋体" w:hAnsi="宋体"/>
          <w:sz w:val="28"/>
          <w:szCs w:val="30"/>
        </w:rPr>
      </w:pPr>
    </w:p>
    <w:p>
      <w:pPr>
        <w:ind w:firstLine="1687" w:firstLineChars="600"/>
        <w:jc w:val="left"/>
        <w:rPr>
          <w:rFonts w:ascii="宋体" w:hAnsi="宋体"/>
          <w:b/>
          <w:bCs/>
          <w:sz w:val="28"/>
          <w:szCs w:val="30"/>
        </w:rPr>
      </w:pPr>
      <w:r>
        <w:rPr>
          <w:rFonts w:ascii="宋体" w:hAnsi="宋体"/>
          <w:b/>
          <w:bCs/>
          <w:sz w:val="28"/>
          <w:szCs w:val="30"/>
        </w:rPr>
        <w:t>基金管理人：</w:t>
      </w:r>
      <w:r>
        <w:rPr>
          <w:rFonts w:hint="eastAsia" w:ascii="宋体" w:hAnsi="宋体"/>
          <w:b/>
          <w:bCs/>
          <w:sz w:val="28"/>
          <w:szCs w:val="30"/>
        </w:rPr>
        <w:t>兴证期货有限公司</w:t>
      </w:r>
    </w:p>
    <w:p>
      <w:pPr>
        <w:ind w:firstLine="1687" w:firstLineChars="600"/>
        <w:jc w:val="left"/>
        <w:rPr>
          <w:rFonts w:ascii="宋体" w:hAnsi="宋体"/>
          <w:b/>
          <w:bCs/>
          <w:sz w:val="28"/>
          <w:szCs w:val="30"/>
        </w:rPr>
      </w:pPr>
      <w:r>
        <w:rPr>
          <w:rFonts w:ascii="宋体" w:hAnsi="宋体"/>
          <w:b/>
          <w:bCs/>
          <w:sz w:val="28"/>
          <w:szCs w:val="30"/>
        </w:rPr>
        <w:t>基金托管人：</w:t>
      </w:r>
      <w:r>
        <w:rPr>
          <w:rFonts w:hint="eastAsia" w:ascii="宋体" w:hAnsi="宋体"/>
          <w:b/>
          <w:bCs/>
          <w:sz w:val="28"/>
          <w:szCs w:val="30"/>
        </w:rPr>
        <w:t>招商银行股份有限公司福州分行</w:t>
      </w:r>
    </w:p>
    <w:p>
      <w:pPr>
        <w:pStyle w:val="40"/>
      </w:pPr>
      <w:r>
        <w:rPr>
          <w:rFonts w:hint="eastAsia"/>
        </w:rPr>
        <w:t>基金基本情况</w:t>
      </w:r>
      <w:r>
        <w:rPr>
          <w:rFonts w:hint="eastAsia"/>
          <w:lang w:eastAsia="zh-CN"/>
        </w:rPr>
        <w:t xml:space="preserve"> </w:t>
      </w:r>
    </w:p>
    <w:tbl>
      <w:tblPr>
        <w:tblStyle w:val="1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b/>
                <w:szCs w:val="21"/>
              </w:rPr>
            </w:pPr>
            <w:r>
              <w:rPr>
                <w:rFonts w:hint="eastAsia" w:ascii="宋体" w:hAnsi="宋体"/>
                <w:b/>
                <w:szCs w:val="21"/>
              </w:rPr>
              <w:t>项目</w:t>
            </w:r>
          </w:p>
        </w:tc>
        <w:tc>
          <w:tcPr>
            <w:tcW w:w="5027" w:type="dxa"/>
            <w:vAlign w:val="center"/>
          </w:tcPr>
          <w:p>
            <w:pPr>
              <w:jc w:val="left"/>
              <w:rPr>
                <w:rFonts w:ascii="宋体" w:hAnsi="宋体"/>
                <w:b/>
              </w:rPr>
            </w:pPr>
            <w:r>
              <w:rPr>
                <w:rFonts w:hint="eastAsia" w:ascii="宋体" w:hAnsi="宋体"/>
                <w:b/>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rPr>
            </w:pPr>
            <w:r>
              <w:rPr>
                <w:rFonts w:hint="eastAsia" w:ascii="宋体" w:hAnsi="宋体"/>
                <w:szCs w:val="21"/>
              </w:rPr>
              <w:t>基金名称</w:t>
            </w:r>
          </w:p>
        </w:tc>
        <w:tc>
          <w:tcPr>
            <w:tcW w:w="5027" w:type="dxa"/>
            <w:vAlign w:val="center"/>
          </w:tcPr>
          <w:p>
            <w:pPr>
              <w:jc w:val="left"/>
              <w:rPr>
                <w:rFonts w:ascii="宋体" w:hAnsi="宋体" w:eastAsia="宋体" w:cs="Times New Roman"/>
                <w:kern w:val="2"/>
                <w:sz w:val="21"/>
                <w:lang w:val="en-US" w:eastAsia="zh-CN" w:bidi="ar-SA"/>
              </w:rPr>
            </w:pPr>
            <w:r>
              <w:rPr>
                <w:rFonts w:hint="eastAsia" w:ascii="宋体" w:hAnsi="宋体"/>
              </w:rPr>
              <w:t>兴证期货-福开1号单一资产管理计划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rPr>
            </w:pPr>
            <w:r>
              <w:rPr>
                <w:rFonts w:hint="eastAsia" w:ascii="宋体" w:hAnsi="宋体"/>
                <w:szCs w:val="21"/>
              </w:rPr>
              <w:t>基金编码</w:t>
            </w:r>
          </w:p>
        </w:tc>
        <w:tc>
          <w:tcPr>
            <w:tcW w:w="5027" w:type="dxa"/>
            <w:vAlign w:val="center"/>
          </w:tcPr>
          <w:p>
            <w:pPr>
              <w:jc w:val="left"/>
              <w:rPr>
                <w:rFonts w:ascii="宋体" w:hAnsi="宋体" w:eastAsia="宋体" w:cs="Times New Roman"/>
                <w:kern w:val="2"/>
                <w:sz w:val="21"/>
                <w:lang w:val="en-US" w:eastAsia="zh-CN" w:bidi="ar-SA"/>
              </w:rPr>
            </w:pPr>
            <w:r>
              <w:rPr>
                <w:rFonts w:hint="default" w:ascii="宋体" w:hAnsi="宋体"/>
              </w:rPr>
              <w:t>SABF85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ind w:right="-107" w:rightChars="-51"/>
              <w:jc w:val="left"/>
              <w:rPr>
                <w:rFonts w:ascii="宋体" w:hAnsi="宋体"/>
              </w:rPr>
            </w:pPr>
            <w:r>
              <w:rPr>
                <w:rFonts w:hint="eastAsia" w:ascii="宋体" w:hAnsi="宋体"/>
                <w:szCs w:val="21"/>
              </w:rPr>
              <w:t>基金管理人</w:t>
            </w:r>
          </w:p>
        </w:tc>
        <w:tc>
          <w:tcPr>
            <w:tcW w:w="5027" w:type="dxa"/>
            <w:vAlign w:val="center"/>
          </w:tcPr>
          <w:p>
            <w:pPr>
              <w:jc w:val="left"/>
              <w:rPr>
                <w:rFonts w:ascii="宋体" w:hAnsi="宋体" w:eastAsia="宋体" w:cs="Times New Roman"/>
                <w:kern w:val="2"/>
                <w:sz w:val="21"/>
                <w:lang w:val="en-US" w:eastAsia="zh-CN" w:bidi="ar-SA"/>
              </w:rPr>
            </w:pPr>
            <w:r>
              <w:rPr>
                <w:rFonts w:hint="eastAsia"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rPr>
            </w:pPr>
            <w:r>
              <w:rPr>
                <w:rFonts w:hint="eastAsia" w:ascii="宋体" w:hAnsi="宋体"/>
                <w:szCs w:val="21"/>
              </w:rPr>
              <w:t>基金托管人（如有）</w:t>
            </w:r>
          </w:p>
        </w:tc>
        <w:tc>
          <w:tcPr>
            <w:tcW w:w="5027" w:type="dxa"/>
            <w:vAlign w:val="center"/>
          </w:tcPr>
          <w:p>
            <w:pPr>
              <w:jc w:val="left"/>
              <w:rPr>
                <w:rFonts w:ascii="宋体" w:hAnsi="宋体" w:eastAsia="宋体" w:cs="Times New Roman"/>
                <w:kern w:val="2"/>
                <w:sz w:val="21"/>
                <w:lang w:val="en-US" w:eastAsia="zh-CN" w:bidi="ar-SA"/>
              </w:rPr>
            </w:pPr>
            <w:r>
              <w:rPr>
                <w:rFonts w:ascii="宋体" w:hAnsi="宋体"/>
              </w:rPr>
              <w:t>招商银行股份有限公司福州分行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szCs w:val="21"/>
              </w:rPr>
            </w:pPr>
            <w:r>
              <w:rPr>
                <w:rFonts w:hint="eastAsia" w:ascii="宋体" w:hAnsi="宋体"/>
                <w:szCs w:val="21"/>
              </w:rPr>
              <w:t>投资顾问（如有）</w:t>
            </w:r>
          </w:p>
        </w:tc>
        <w:tc>
          <w:tcPr>
            <w:tcW w:w="5027" w:type="dxa"/>
            <w:vAlign w:val="center"/>
          </w:tcPr>
          <w:p>
            <w:pPr>
              <w:jc w:val="left"/>
              <w:rPr>
                <w:rFonts w:hint="default" w:ascii="宋体" w:hAnsi="宋体" w:eastAsia="宋体" w:cs="Times New Roman"/>
                <w:kern w:val="2"/>
                <w:sz w:val="21"/>
                <w:lang w:val="en-US" w:eastAsia="zh-CN" w:bidi="ar-SA"/>
              </w:rPr>
            </w:pPr>
            <w:r>
              <w:rPr>
                <w:rFonts w:hint="eastAsia" w:ascii="宋体" w:hAnsi="宋体" w:cs="Times New Roman"/>
                <w:kern w:val="2"/>
                <w:sz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rPr>
            </w:pPr>
            <w:r>
              <w:rPr>
                <w:rFonts w:hint="eastAsia" w:ascii="宋体" w:hAnsi="宋体"/>
                <w:szCs w:val="21"/>
              </w:rPr>
              <w:t>基金运作方式</w:t>
            </w:r>
          </w:p>
        </w:tc>
        <w:tc>
          <w:tcPr>
            <w:tcW w:w="5027" w:type="dxa"/>
            <w:vAlign w:val="center"/>
          </w:tcPr>
          <w:p>
            <w:pPr>
              <w:jc w:val="left"/>
              <w:rPr>
                <w:rFonts w:hint="default" w:ascii="宋体" w:hAnsi="宋体" w:eastAsia="宋体" w:cs="Times New Roman"/>
                <w:kern w:val="2"/>
                <w:sz w:val="21"/>
                <w:lang w:val="en-US" w:eastAsia="zh-CN" w:bidi="ar-SA"/>
              </w:rPr>
            </w:pPr>
            <w:r>
              <w:rPr>
                <w:rFonts w:hint="eastAsia" w:ascii="宋体" w:hAnsi="宋体"/>
                <w:lang w:val="en-US" w:eastAsia="zh-Hans"/>
              </w:rPr>
              <w:t>契约型开放式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rPr>
            </w:pPr>
            <w:r>
              <w:rPr>
                <w:rFonts w:hint="eastAsia" w:ascii="宋体" w:hAnsi="宋体"/>
                <w:szCs w:val="21"/>
              </w:rPr>
              <w:t>基金成立日期</w:t>
            </w:r>
          </w:p>
        </w:tc>
        <w:tc>
          <w:tcPr>
            <w:tcW w:w="5027" w:type="dxa"/>
            <w:vAlign w:val="center"/>
          </w:tcPr>
          <w:p>
            <w:pPr>
              <w:jc w:val="left"/>
              <w:rPr>
                <w:rFonts w:hint="default" w:ascii="宋体" w:hAnsi="宋体" w:eastAsia="宋体" w:cs="Times New Roman"/>
                <w:kern w:val="2"/>
                <w:sz w:val="21"/>
                <w:lang w:val="en-US" w:eastAsia="zh-CN" w:bidi="ar-SA"/>
              </w:rPr>
            </w:pPr>
            <w:r>
              <w:rPr>
                <w:rFonts w:hint="eastAsia" w:ascii="宋体" w:hAnsi="宋体"/>
              </w:rPr>
              <w:t>2023-09-28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vAlign w:val="center"/>
          </w:tcPr>
          <w:p>
            <w:pPr>
              <w:rPr>
                <w:rFonts w:ascii="宋体" w:hAnsi="宋体"/>
                <w:szCs w:val="21"/>
              </w:rPr>
            </w:pPr>
            <w:r>
              <w:rPr>
                <w:rFonts w:hint="eastAsia" w:ascii="宋体" w:hAnsi="宋体"/>
                <w:szCs w:val="21"/>
              </w:rPr>
              <w:t>报告期末基金份额总额</w:t>
            </w:r>
          </w:p>
        </w:tc>
        <w:tc>
          <w:tcPr>
            <w:tcW w:w="5027" w:type="dxa"/>
            <w:vAlign w:val="center"/>
          </w:tcPr>
          <w:p>
            <w:pPr>
              <w:jc w:val="left"/>
              <w:rPr>
                <w:rFonts w:ascii="宋体" w:hAnsi="宋体" w:eastAsia="宋体" w:cs="Times New Roman"/>
                <w:kern w:val="2"/>
                <w:sz w:val="21"/>
                <w:lang w:val="en-US" w:eastAsia="zh-CN" w:bidi="ar-SA"/>
              </w:rPr>
            </w:pPr>
            <w:r>
              <w:rPr>
                <w:rFonts w:hint="eastAsia" w:ascii="宋体" w:hAnsi="宋体"/>
              </w:rPr>
              <w:t>149,888,089.53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szCs w:val="21"/>
              </w:rPr>
            </w:pPr>
            <w:r>
              <w:rPr>
                <w:rFonts w:hint="eastAsia" w:ascii="宋体" w:hAnsi="宋体"/>
                <w:szCs w:val="21"/>
              </w:rPr>
              <w:t>投资目标</w:t>
            </w:r>
          </w:p>
        </w:tc>
        <w:tc>
          <w:tcPr>
            <w:tcW w:w="5027" w:type="dxa"/>
            <w:vAlign w:val="center"/>
          </w:tcPr>
          <w:p>
            <w:pPr>
              <w:jc w:val="left"/>
              <w:rPr>
                <w:rFonts w:ascii="宋体" w:hAnsi="宋体" w:eastAsia="宋体" w:cs="Times New Roman"/>
                <w:kern w:val="2"/>
                <w:sz w:val="21"/>
                <w:lang w:val="en-US" w:eastAsia="zh-CN" w:bidi="ar-SA"/>
              </w:rPr>
            </w:pPr>
            <w:r>
              <w:rPr>
                <w:rFonts w:hint="eastAsia" w:ascii="宋体" w:hAnsi="宋体"/>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szCs w:val="21"/>
              </w:rPr>
            </w:pPr>
            <w:r>
              <w:rPr>
                <w:rFonts w:hint="eastAsia" w:ascii="宋体" w:hAnsi="宋体"/>
                <w:szCs w:val="21"/>
              </w:rPr>
              <w:t>投资策略</w:t>
            </w:r>
          </w:p>
        </w:tc>
        <w:tc>
          <w:tcPr>
            <w:tcW w:w="5027" w:type="dxa"/>
            <w:vAlign w:val="center"/>
          </w:tcPr>
          <w:p>
            <w:pPr>
              <w:jc w:val="left"/>
              <w:rPr>
                <w:rFonts w:ascii="宋体" w:hAnsi="宋体" w:eastAsia="宋体" w:cs="Times New Roman"/>
                <w:kern w:val="2"/>
                <w:sz w:val="21"/>
                <w:lang w:val="en-US" w:eastAsia="zh-CN" w:bidi="ar-SA"/>
              </w:rPr>
            </w:pPr>
            <w:r>
              <w:rPr>
                <w:rFonts w:hint="eastAsia" w:ascii="宋体" w:hAnsi="宋体"/>
                <w:b w:val="0"/>
                <w:bCs/>
              </w:rPr>
              <w:t>本计划整体为固收策略，选择合适的银行间及交易所债券，以债券配置策略为主。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szCs w:val="21"/>
              </w:rPr>
            </w:pPr>
            <w:r>
              <w:rPr>
                <w:rFonts w:hint="eastAsia" w:ascii="宋体" w:hAnsi="宋体"/>
                <w:szCs w:val="21"/>
              </w:rPr>
              <w:t>业绩比较基准（如有）</w:t>
            </w:r>
          </w:p>
        </w:tc>
        <w:tc>
          <w:tcPr>
            <w:tcW w:w="5027" w:type="dxa"/>
            <w:vAlign w:val="center"/>
          </w:tcPr>
          <w:p>
            <w:pPr>
              <w:jc w:val="left"/>
              <w:rPr>
                <w:rFonts w:ascii="宋体" w:hAnsi="宋体"/>
              </w:rPr>
            </w:pPr>
            <w:r>
              <w:rPr>
                <w:rFonts w:hint="eastAsia" w:ascii="宋体" w:hAnsi="宋体"/>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szCs w:val="21"/>
              </w:rPr>
            </w:pPr>
            <w:r>
              <w:rPr>
                <w:rFonts w:hint="eastAsia" w:ascii="宋体" w:hAnsi="宋体"/>
                <w:szCs w:val="21"/>
              </w:rPr>
              <w:t>风险收益特征</w:t>
            </w:r>
          </w:p>
        </w:tc>
        <w:tc>
          <w:tcPr>
            <w:tcW w:w="5027" w:type="dxa"/>
            <w:vAlign w:val="center"/>
          </w:tcPr>
          <w:p>
            <w:pPr>
              <w:jc w:val="left"/>
              <w:rPr>
                <w:rFonts w:ascii="宋体" w:hAnsi="宋体" w:eastAsia="宋体" w:cs="Times New Roman"/>
                <w:kern w:val="2"/>
                <w:sz w:val="21"/>
                <w:lang w:val="en-US" w:eastAsia="zh-CN" w:bidi="ar-SA"/>
              </w:rPr>
            </w:pPr>
            <w:r>
              <w:rPr>
                <w:rFonts w:hint="eastAsia" w:ascii="宋体" w:hAnsi="宋体"/>
              </w:rPr>
              <w:t>基于本计划的投资范围及投资策略，本计划不承诺保本及最低收益，资产管理计划的风险收益级别:R2 中低风险，适合专业投资者和风险承受能力为 C2、C3</w:t>
            </w:r>
            <w:r>
              <w:rPr>
                <w:rFonts w:hint="eastAsia" w:ascii="宋体" w:hAnsi="宋体"/>
                <w:lang w:eastAsia="zh-CN"/>
              </w:rPr>
              <w:t>、</w:t>
            </w:r>
            <w:r>
              <w:rPr>
                <w:rFonts w:hint="eastAsia" w:ascii="宋体" w:hAnsi="宋体"/>
              </w:rPr>
              <w:t>C4、C5 的普通投资者，并符合期货公司资产管理业务合格投资者相关标准。</w:t>
            </w:r>
          </w:p>
        </w:tc>
      </w:tr>
    </w:tbl>
    <w:p>
      <w:pPr>
        <w:spacing w:line="360" w:lineRule="auto"/>
        <w:jc w:val="left"/>
        <w:rPr>
          <w:rFonts w:ascii="宋体" w:hAnsi="宋体"/>
        </w:rPr>
      </w:pPr>
    </w:p>
    <w:p>
      <w:pPr>
        <w:pStyle w:val="40"/>
      </w:pPr>
      <w:r>
        <w:rPr>
          <w:rFonts w:hint="eastAsia"/>
        </w:rPr>
        <w:t>基金净值表现</w:t>
      </w:r>
    </w:p>
    <w:tbl>
      <w:tblPr>
        <w:tblStyle w:val="17"/>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777"/>
        <w:gridCol w:w="1777"/>
        <w:gridCol w:w="1782"/>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宋体" w:hAnsi="宋体"/>
                <w:b/>
              </w:rPr>
            </w:pPr>
            <w:r>
              <w:rPr>
                <w:rFonts w:hint="eastAsia"/>
                <w:b/>
              </w:rPr>
              <w:t>阶段</w:t>
            </w:r>
          </w:p>
        </w:tc>
        <w:tc>
          <w:tcPr>
            <w:tcW w:w="1777" w:type="dxa"/>
            <w:shd w:val="clear" w:color="auto" w:fill="D9D9D9"/>
            <w:vAlign w:val="center"/>
          </w:tcPr>
          <w:p>
            <w:pPr>
              <w:jc w:val="center"/>
              <w:rPr>
                <w:rFonts w:ascii="宋体" w:hAnsi="宋体"/>
                <w:b/>
              </w:rPr>
            </w:pPr>
            <w:r>
              <w:rPr>
                <w:rFonts w:hint="eastAsia"/>
                <w:b/>
              </w:rPr>
              <w:t>净值增长率（%）</w:t>
            </w:r>
          </w:p>
        </w:tc>
        <w:tc>
          <w:tcPr>
            <w:tcW w:w="1777" w:type="dxa"/>
            <w:shd w:val="clear" w:color="auto" w:fill="D9D9D9"/>
            <w:vAlign w:val="center"/>
          </w:tcPr>
          <w:p>
            <w:pPr>
              <w:jc w:val="center"/>
              <w:rPr>
                <w:rFonts w:ascii="宋体" w:hAnsi="宋体"/>
                <w:b/>
              </w:rPr>
            </w:pPr>
            <w:r>
              <w:rPr>
                <w:rFonts w:hint="eastAsia"/>
                <w:b/>
              </w:rPr>
              <w:t>净值增长率标准差（%）</w:t>
            </w:r>
          </w:p>
        </w:tc>
        <w:tc>
          <w:tcPr>
            <w:tcW w:w="1782" w:type="dxa"/>
            <w:shd w:val="clear" w:color="auto" w:fill="D9D9D9"/>
            <w:vAlign w:val="center"/>
          </w:tcPr>
          <w:p>
            <w:pPr>
              <w:jc w:val="center"/>
              <w:rPr>
                <w:rFonts w:ascii="宋体" w:hAnsi="宋体"/>
                <w:b/>
              </w:rPr>
            </w:pPr>
            <w:r>
              <w:rPr>
                <w:rFonts w:hint="eastAsia" w:ascii="宋体" w:hAnsi="宋体"/>
                <w:b/>
              </w:rPr>
              <w:t>业绩比较基准收益率（%）</w:t>
            </w:r>
          </w:p>
        </w:tc>
        <w:tc>
          <w:tcPr>
            <w:tcW w:w="1778" w:type="dxa"/>
            <w:shd w:val="clear" w:color="auto" w:fill="D9D9D9"/>
            <w:vAlign w:val="center"/>
          </w:tcPr>
          <w:p>
            <w:pPr>
              <w:jc w:val="center"/>
              <w:rPr>
                <w:rFonts w:ascii="宋体" w:hAnsi="宋体"/>
                <w:b/>
              </w:rPr>
            </w:pPr>
            <w:r>
              <w:rPr>
                <w:rFonts w:hint="eastAsia"/>
                <w:b/>
              </w:rP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宋体" w:hAnsi="宋体"/>
              </w:rPr>
            </w:pPr>
            <w:r>
              <w:rPr>
                <w:rFonts w:hint="eastAsia" w:ascii="宋体" w:hAnsi="宋体"/>
              </w:rPr>
              <w:t>当季</w:t>
            </w:r>
          </w:p>
        </w:tc>
        <w:tc>
          <w:tcPr>
            <w:tcW w:w="1777" w:type="dxa"/>
            <w:vAlign w:val="center"/>
          </w:tcPr>
          <w:p>
            <w:pPr>
              <w:jc w:val="right"/>
              <w:rPr>
                <w:rFonts w:ascii="宋体" w:hAnsi="宋体"/>
              </w:rPr>
            </w:pPr>
            <w:r>
              <w:rPr>
                <w:rFonts w:ascii="宋体" w:hAnsi="宋体"/>
              </w:rPr>
              <w:t>5.41</w:t>
            </w:r>
          </w:p>
        </w:tc>
        <w:tc>
          <w:tcPr>
            <w:tcW w:w="1777" w:type="dxa"/>
            <w:vAlign w:val="center"/>
          </w:tcPr>
          <w:p>
            <w:pPr>
              <w:jc w:val="right"/>
              <w:rPr>
                <w:rFonts w:ascii="宋体" w:hAnsi="宋体"/>
              </w:rPr>
            </w:pPr>
            <w:r>
              <w:rPr>
                <w:rFonts w:ascii="宋体" w:hAnsi="宋体"/>
              </w:rPr>
              <w:t>-</w:t>
            </w:r>
          </w:p>
        </w:tc>
        <w:tc>
          <w:tcPr>
            <w:tcW w:w="1782" w:type="dxa"/>
            <w:vAlign w:val="center"/>
          </w:tcPr>
          <w:p>
            <w:pPr>
              <w:jc w:val="right"/>
              <w:rPr>
                <w:rFonts w:ascii="宋体" w:hAnsi="宋体"/>
              </w:rPr>
            </w:pPr>
            <w:r>
              <w:rPr>
                <w:rFonts w:ascii="宋体" w:hAnsi="宋体"/>
              </w:rPr>
              <w:t>-</w:t>
            </w:r>
          </w:p>
        </w:tc>
        <w:tc>
          <w:tcPr>
            <w:tcW w:w="1778" w:type="dxa"/>
            <w:vAlign w:val="center"/>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宋体" w:hAnsi="宋体"/>
              </w:rPr>
            </w:pPr>
            <w:r>
              <w:rPr>
                <w:rFonts w:hint="eastAsia" w:ascii="宋体" w:hAnsi="宋体"/>
              </w:rPr>
              <w:t>自基金合同生效起至今</w:t>
            </w:r>
          </w:p>
        </w:tc>
        <w:tc>
          <w:tcPr>
            <w:tcW w:w="1777" w:type="dxa"/>
            <w:vAlign w:val="center"/>
          </w:tcPr>
          <w:p>
            <w:pPr>
              <w:jc w:val="right"/>
              <w:rPr>
                <w:rFonts w:ascii="宋体" w:hAnsi="宋体"/>
              </w:rPr>
            </w:pPr>
            <w:r>
              <w:rPr>
                <w:rFonts w:ascii="宋体" w:hAnsi="宋体"/>
              </w:rPr>
              <w:t>7.23</w:t>
            </w:r>
          </w:p>
        </w:tc>
        <w:tc>
          <w:tcPr>
            <w:tcW w:w="1777" w:type="dxa"/>
            <w:vAlign w:val="center"/>
          </w:tcPr>
          <w:p>
            <w:pPr>
              <w:jc w:val="right"/>
              <w:rPr>
                <w:rFonts w:ascii="宋体" w:hAnsi="宋体"/>
              </w:rPr>
            </w:pPr>
            <w:r>
              <w:rPr>
                <w:rFonts w:ascii="宋体" w:hAnsi="宋体"/>
              </w:rPr>
              <w:t>-</w:t>
            </w:r>
          </w:p>
        </w:tc>
        <w:tc>
          <w:tcPr>
            <w:tcW w:w="1782" w:type="dxa"/>
            <w:vAlign w:val="center"/>
          </w:tcPr>
          <w:p>
            <w:pPr>
              <w:jc w:val="right"/>
              <w:rPr>
                <w:rFonts w:ascii="宋体" w:hAnsi="宋体"/>
              </w:rPr>
            </w:pPr>
            <w:r>
              <w:rPr>
                <w:rFonts w:ascii="宋体" w:hAnsi="宋体"/>
              </w:rPr>
              <w:t>-</w:t>
            </w:r>
          </w:p>
        </w:tc>
        <w:tc>
          <w:tcPr>
            <w:tcW w:w="1778" w:type="dxa"/>
            <w:vAlign w:val="center"/>
          </w:tcPr>
          <w:p>
            <w:pPr>
              <w:jc w:val="right"/>
              <w:rPr>
                <w:rFonts w:ascii="宋体" w:hAnsi="宋体"/>
              </w:rPr>
            </w:pPr>
            <w:r>
              <w:rPr>
                <w:rFonts w:ascii="宋体" w:hAnsi="宋体"/>
              </w:rPr>
              <w:t>-</w:t>
            </w:r>
          </w:p>
        </w:tc>
      </w:tr>
    </w:tbl>
    <w:p>
      <w:pPr>
        <w:spacing w:line="360" w:lineRule="auto"/>
        <w:ind w:left="420" w:leftChars="200"/>
        <w:jc w:val="left"/>
        <w:rPr>
          <w:rFonts w:ascii="宋体" w:hAnsi="宋体"/>
          <w:sz w:val="24"/>
        </w:rPr>
      </w:pPr>
      <w:r>
        <w:rPr>
          <w:rFonts w:ascii="宋体" w:hAnsi="宋体"/>
          <w:sz w:val="24"/>
        </w:rPr>
        <w:t xml:space="preserve"> </w:t>
      </w:r>
    </w:p>
    <w:p>
      <w:pPr>
        <w:spacing w:line="360" w:lineRule="auto"/>
        <w:ind w:left="420" w:leftChars="200"/>
        <w:jc w:val="left"/>
        <w:rPr>
          <w:rFonts w:ascii="宋体" w:hAnsi="宋体"/>
          <w:sz w:val="24"/>
        </w:rPr>
      </w:pPr>
    </w:p>
    <w:p>
      <w:pPr>
        <w:pStyle w:val="40"/>
      </w:pPr>
      <w:r>
        <w:rPr>
          <w:rFonts w:hint="eastAsia"/>
        </w:rPr>
        <w:t>主要财务指标</w:t>
      </w:r>
    </w:p>
    <w:p>
      <w:pPr>
        <w:jc w:val="right"/>
        <w:rPr>
          <w:rFonts w:ascii="宋体" w:hAnsi="宋体"/>
        </w:rPr>
      </w:pPr>
      <w:r>
        <w:rPr>
          <w:rFonts w:hint="eastAsia" w:ascii="宋体" w:hAnsi="宋体"/>
        </w:rPr>
        <w:t>单位：元</w:t>
      </w:r>
    </w:p>
    <w:tbl>
      <w:tblPr>
        <w:tblStyle w:val="1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838" w:type="dxa"/>
            <w:shd w:val="clear" w:color="auto" w:fill="D9D9D9"/>
            <w:vAlign w:val="center"/>
          </w:tcPr>
          <w:p>
            <w:pPr>
              <w:jc w:val="left"/>
              <w:rPr>
                <w:rFonts w:ascii="宋体" w:hAnsi="宋体"/>
                <w:b/>
              </w:rPr>
            </w:pPr>
            <w:r>
              <w:rPr>
                <w:rFonts w:hint="eastAsia" w:ascii="宋体" w:hAnsi="宋体"/>
                <w:b/>
                <w:szCs w:val="21"/>
              </w:rPr>
              <w:t>项目</w:t>
            </w:r>
          </w:p>
        </w:tc>
        <w:tc>
          <w:tcPr>
            <w:tcW w:w="5027" w:type="dxa"/>
            <w:shd w:val="clear" w:color="auto" w:fill="D9D9D9"/>
            <w:vAlign w:val="center"/>
          </w:tcPr>
          <w:p>
            <w:pPr>
              <w:jc w:val="left"/>
              <w:rPr>
                <w:b/>
              </w:rPr>
            </w:pPr>
            <w:r>
              <w:rPr>
                <w:b/>
              </w:rPr>
              <w:t>2024-01-01</w:t>
            </w:r>
            <w:r>
              <w:rPr>
                <w:rFonts w:hint="eastAsia"/>
                <w:b/>
              </w:rPr>
              <w:t xml:space="preserve"> 至 </w:t>
            </w:r>
            <w:r>
              <w:rPr>
                <w:b/>
              </w:rPr>
              <w:t>2024-03-31</w:t>
            </w:r>
            <w:r>
              <w:rPr>
                <w:rFonts w:hint="eastAsia"/>
                <w:b/>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rPr>
            </w:pPr>
            <w:r>
              <w:rPr>
                <w:rFonts w:hint="eastAsia" w:ascii="宋体" w:hAnsi="宋体"/>
                <w:szCs w:val="21"/>
              </w:rPr>
              <w:t>本期已实现收益</w:t>
            </w:r>
          </w:p>
        </w:tc>
        <w:tc>
          <w:tcPr>
            <w:tcW w:w="5027" w:type="dxa"/>
            <w:vAlign w:val="center"/>
          </w:tcPr>
          <w:p>
            <w:pPr>
              <w:jc w:val="right"/>
              <w:rPr>
                <w:rFonts w:ascii="宋体" w:hAnsi="宋体"/>
              </w:rPr>
            </w:pPr>
            <w:r>
              <w:rPr>
                <w:rFonts w:ascii="宋体" w:hAnsi="宋体"/>
              </w:rPr>
              <w:t>1,778,440.14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ind w:right="-107" w:rightChars="-51"/>
              <w:jc w:val="left"/>
              <w:rPr>
                <w:rFonts w:ascii="宋体" w:hAnsi="宋体"/>
              </w:rPr>
            </w:pPr>
            <w:r>
              <w:rPr>
                <w:rFonts w:hint="eastAsia" w:ascii="宋体" w:hAnsi="宋体"/>
                <w:szCs w:val="21"/>
              </w:rPr>
              <w:t>本期利润</w:t>
            </w:r>
          </w:p>
        </w:tc>
        <w:tc>
          <w:tcPr>
            <w:tcW w:w="5027" w:type="dxa"/>
            <w:vAlign w:val="center"/>
          </w:tcPr>
          <w:p>
            <w:pPr>
              <w:jc w:val="right"/>
              <w:rPr>
                <w:rFonts w:ascii="宋体" w:hAnsi="宋体"/>
              </w:rPr>
            </w:pPr>
            <w:r>
              <w:rPr>
                <w:rFonts w:ascii="宋体" w:hAnsi="宋体"/>
              </w:rPr>
              <w:t>8,250,203.25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rPr>
            </w:pPr>
            <w:r>
              <w:rPr>
                <w:rFonts w:hint="eastAsia" w:ascii="宋体" w:hAnsi="宋体"/>
                <w:szCs w:val="21"/>
              </w:rPr>
              <w:t>期末基金净资产</w:t>
            </w:r>
          </w:p>
        </w:tc>
        <w:tc>
          <w:tcPr>
            <w:tcW w:w="5027" w:type="dxa"/>
            <w:vAlign w:val="center"/>
          </w:tcPr>
          <w:p>
            <w:pPr>
              <w:jc w:val="right"/>
              <w:rPr>
                <w:rFonts w:ascii="宋体" w:hAnsi="宋体"/>
              </w:rPr>
            </w:pPr>
            <w:r>
              <w:rPr>
                <w:rFonts w:ascii="宋体" w:hAnsi="宋体"/>
              </w:rPr>
              <w:t>160,724,717.18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tcBorders>
              <w:bottom w:val="single" w:color="auto" w:sz="4" w:space="0"/>
            </w:tcBorders>
            <w:vAlign w:val="center"/>
          </w:tcPr>
          <w:p>
            <w:pPr>
              <w:jc w:val="left"/>
              <w:rPr>
                <w:rFonts w:ascii="宋体" w:hAnsi="宋体"/>
              </w:rPr>
            </w:pPr>
            <w:r>
              <w:rPr>
                <w:rFonts w:hint="eastAsia" w:ascii="宋体" w:hAnsi="宋体"/>
                <w:szCs w:val="21"/>
              </w:rPr>
              <w:t>报告期末单位净值</w:t>
            </w:r>
          </w:p>
        </w:tc>
        <w:tc>
          <w:tcPr>
            <w:tcW w:w="5027" w:type="dxa"/>
            <w:tcBorders>
              <w:bottom w:val="single" w:color="auto" w:sz="4" w:space="0"/>
            </w:tcBorders>
            <w:vAlign w:val="center"/>
          </w:tcPr>
          <w:p>
            <w:pPr>
              <w:jc w:val="right"/>
              <w:rPr>
                <w:rFonts w:hint="default" w:ascii="宋体" w:hAnsi="宋体" w:eastAsia="宋体"/>
                <w:lang w:val="en-US" w:eastAsia="zh-CN"/>
              </w:rPr>
            </w:pPr>
            <w:r>
              <w:rPr>
                <w:rFonts w:ascii="宋体" w:hAnsi="宋体"/>
              </w:rPr>
              <w:t>1.07</w:t>
            </w:r>
            <w:r>
              <w:rPr>
                <w:rFonts w:hint="eastAsia" w:ascii="宋体" w:hAnsi="宋体"/>
                <w:lang w:val="en-US" w:eastAsia="zh-CN"/>
              </w:rPr>
              <w:t>23</w:t>
            </w:r>
          </w:p>
        </w:tc>
      </w:tr>
    </w:tbl>
    <w:p>
      <w:pPr>
        <w:tabs>
          <w:tab w:val="left" w:pos="3135"/>
        </w:tabs>
        <w:ind w:left="420" w:leftChars="200"/>
        <w:rPr>
          <w:rFonts w:ascii="宋体" w:hAnsi="宋体"/>
          <w:sz w:val="24"/>
        </w:rPr>
      </w:pPr>
      <w:r>
        <w:rPr>
          <w:rFonts w:hint="eastAsia" w:ascii="宋体" w:hAnsi="宋体"/>
          <w:sz w:val="24"/>
        </w:rPr>
        <w:t xml:space="preserve"> </w:t>
      </w:r>
    </w:p>
    <w:p>
      <w:pPr>
        <w:tabs>
          <w:tab w:val="left" w:pos="3135"/>
        </w:tabs>
        <w:ind w:left="424" w:leftChars="202"/>
      </w:pPr>
    </w:p>
    <w:p>
      <w:pPr>
        <w:pStyle w:val="40"/>
      </w:pPr>
      <w:r>
        <w:rPr>
          <w:rFonts w:hint="eastAsia"/>
        </w:rPr>
        <w:t>投资组合情况</w:t>
      </w: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pPr>
        <w:pStyle w:val="41"/>
        <w:spacing w:before="156" w:after="156"/>
        <w:rPr>
          <w:b w:val="0"/>
          <w:lang w:eastAsia="zh-CN"/>
        </w:rPr>
      </w:pPr>
      <w:r>
        <w:rPr>
          <w:rFonts w:hint="eastAsia"/>
          <w:b w:val="0"/>
        </w:rPr>
        <w:t>期末基金资产组合情况</w:t>
      </w:r>
    </w:p>
    <w:p>
      <w:pPr>
        <w:jc w:val="right"/>
      </w:pPr>
      <w:r>
        <w:rPr>
          <w:rFonts w:hint="eastAsia"/>
        </w:rPr>
        <w:t>金额单位：元</w:t>
      </w:r>
    </w:p>
    <w:tbl>
      <w:tblPr>
        <w:tblStyle w:val="1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11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24" w:type="dxa"/>
            <w:gridSpan w:val="2"/>
            <w:shd w:val="clear" w:color="auto" w:fill="D9D9D9"/>
            <w:vAlign w:val="center"/>
          </w:tcPr>
          <w:p>
            <w:pPr>
              <w:jc w:val="center"/>
              <w:rPr>
                <w:rFonts w:ascii="宋体" w:hAnsi="宋体"/>
                <w:b/>
                <w:szCs w:val="21"/>
              </w:rPr>
            </w:pPr>
            <w:r>
              <w:rPr>
                <w:rFonts w:hint="eastAsia" w:ascii="宋体" w:hAnsi="宋体"/>
                <w:b/>
                <w:szCs w:val="21"/>
              </w:rPr>
              <w:t>项目</w:t>
            </w:r>
          </w:p>
        </w:tc>
        <w:tc>
          <w:tcPr>
            <w:tcW w:w="3685" w:type="dxa"/>
            <w:shd w:val="clear" w:color="auto" w:fill="D9D9D9"/>
            <w:vAlign w:val="center"/>
          </w:tcPr>
          <w:p>
            <w:pPr>
              <w:jc w:val="center"/>
              <w:rPr>
                <w:rFonts w:ascii="宋体" w:hAnsi="宋体"/>
                <w:b/>
                <w:szCs w:val="21"/>
              </w:rPr>
            </w:pPr>
            <w:r>
              <w:rPr>
                <w:rFonts w:hint="eastAsia" w:ascii="宋体" w:hAnsi="宋体"/>
                <w:b/>
                <w:szCs w:val="21"/>
              </w:rPr>
              <w:t>金额</w:t>
            </w:r>
          </w:p>
          <w:p>
            <w:pPr>
              <w:jc w:val="center"/>
              <w:rPr>
                <w:rFonts w:ascii="宋体" w:hAnsi="宋体"/>
                <w:b/>
                <w:szCs w:val="21"/>
              </w:rPr>
            </w:pPr>
            <w:r>
              <w:rPr>
                <w:rFonts w:hint="eastAsia" w:ascii="宋体" w:hAnsi="宋体"/>
                <w:b/>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vAlign w:val="center"/>
          </w:tcPr>
          <w:p>
            <w:pPr>
              <w:jc w:val="center"/>
              <w:rPr>
                <w:rFonts w:ascii="宋体" w:hAnsi="宋体"/>
                <w:szCs w:val="21"/>
              </w:rPr>
            </w:pPr>
            <w:r>
              <w:rPr>
                <w:rFonts w:hint="eastAsia" w:ascii="宋体" w:hAnsi="宋体"/>
                <w:szCs w:val="21"/>
              </w:rPr>
              <w:t>现金类资产</w:t>
            </w:r>
          </w:p>
        </w:tc>
        <w:tc>
          <w:tcPr>
            <w:tcW w:w="3119" w:type="dxa"/>
            <w:shd w:val="clear" w:color="auto" w:fill="auto"/>
            <w:vAlign w:val="center"/>
          </w:tcPr>
          <w:p>
            <w:pPr>
              <w:rPr>
                <w:rFonts w:ascii="宋体" w:hAnsi="宋体"/>
                <w:szCs w:val="21"/>
              </w:rPr>
            </w:pPr>
            <w:r>
              <w:rPr>
                <w:rFonts w:hint="eastAsia" w:ascii="宋体" w:hAnsi="宋体"/>
                <w:szCs w:val="21"/>
              </w:rPr>
              <w:t>银行存款</w:t>
            </w:r>
          </w:p>
        </w:tc>
        <w:tc>
          <w:tcPr>
            <w:tcW w:w="3685" w:type="dxa"/>
            <w:shd w:val="clear" w:color="auto" w:fill="auto"/>
            <w:vAlign w:val="center"/>
          </w:tcPr>
          <w:p>
            <w:pPr>
              <w:jc w:val="right"/>
              <w:rPr>
                <w:rFonts w:ascii="宋体" w:hAnsi="宋体"/>
              </w:rPr>
            </w:pPr>
            <w:r>
              <w:rPr>
                <w:rFonts w:ascii="宋体" w:hAnsi="宋体"/>
              </w:rPr>
              <w:t>21,017.30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shd w:val="clear" w:color="auto" w:fill="auto"/>
            <w:vAlign w:val="center"/>
          </w:tcPr>
          <w:p>
            <w:pPr>
              <w:jc w:val="center"/>
              <w:rPr>
                <w:rFonts w:ascii="宋体" w:hAnsi="宋体"/>
                <w:szCs w:val="21"/>
              </w:rPr>
            </w:pPr>
            <w:r>
              <w:rPr>
                <w:rFonts w:hint="eastAsia" w:ascii="宋体" w:hAnsi="宋体"/>
                <w:szCs w:val="21"/>
              </w:rPr>
              <w:t>境内未上市、未挂牌公司股权投资</w:t>
            </w:r>
          </w:p>
        </w:tc>
        <w:tc>
          <w:tcPr>
            <w:tcW w:w="3119" w:type="dxa"/>
            <w:shd w:val="clear" w:color="auto" w:fill="auto"/>
            <w:vAlign w:val="center"/>
          </w:tcPr>
          <w:p>
            <w:pPr>
              <w:rPr>
                <w:rFonts w:ascii="宋体" w:hAnsi="宋体"/>
                <w:szCs w:val="21"/>
              </w:rPr>
            </w:pPr>
            <w:r>
              <w:rPr>
                <w:rFonts w:hint="eastAsia" w:ascii="宋体" w:hAnsi="宋体"/>
                <w:szCs w:val="21"/>
              </w:rPr>
              <w:t>股权投资</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其中优先股</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其他股权类投资</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vAlign w:val="center"/>
          </w:tcPr>
          <w:p>
            <w:pPr>
              <w:jc w:val="center"/>
              <w:rPr>
                <w:rFonts w:ascii="宋体" w:hAnsi="宋体"/>
                <w:szCs w:val="21"/>
              </w:rPr>
            </w:pPr>
            <w:r>
              <w:rPr>
                <w:rFonts w:hint="eastAsia" w:ascii="宋体" w:hAnsi="宋体"/>
                <w:szCs w:val="21"/>
              </w:rPr>
              <w:t>上市公司定向增发投资</w:t>
            </w:r>
          </w:p>
        </w:tc>
        <w:tc>
          <w:tcPr>
            <w:tcW w:w="3119" w:type="dxa"/>
            <w:shd w:val="clear" w:color="auto" w:fill="auto"/>
            <w:vAlign w:val="center"/>
          </w:tcPr>
          <w:p>
            <w:pPr>
              <w:rPr>
                <w:rFonts w:ascii="宋体" w:hAnsi="宋体"/>
                <w:szCs w:val="21"/>
              </w:rPr>
            </w:pPr>
            <w:r>
              <w:rPr>
                <w:rFonts w:hint="eastAsia" w:ascii="宋体" w:hAnsi="宋体"/>
                <w:szCs w:val="21"/>
              </w:rPr>
              <w:t>上市公司定向增发股票投资</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vAlign w:val="center"/>
          </w:tcPr>
          <w:p>
            <w:pPr>
              <w:jc w:val="center"/>
              <w:rPr>
                <w:rFonts w:ascii="宋体" w:hAnsi="宋体"/>
                <w:szCs w:val="21"/>
              </w:rPr>
            </w:pPr>
            <w:r>
              <w:rPr>
                <w:rFonts w:hint="eastAsia" w:ascii="宋体" w:hAnsi="宋体"/>
                <w:szCs w:val="21"/>
              </w:rPr>
              <w:t>　新三板投资</w:t>
            </w:r>
          </w:p>
        </w:tc>
        <w:tc>
          <w:tcPr>
            <w:tcW w:w="3119" w:type="dxa"/>
            <w:shd w:val="clear" w:color="auto" w:fill="auto"/>
            <w:vAlign w:val="center"/>
          </w:tcPr>
          <w:p>
            <w:pPr>
              <w:rPr>
                <w:rFonts w:ascii="宋体" w:hAnsi="宋体"/>
                <w:szCs w:val="21"/>
              </w:rPr>
            </w:pPr>
            <w:r>
              <w:rPr>
                <w:rFonts w:hint="eastAsia" w:ascii="宋体" w:hAnsi="宋体"/>
                <w:szCs w:val="21"/>
              </w:rPr>
              <w:t>新三板挂牌企业投资</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shd w:val="clear" w:color="auto" w:fill="auto"/>
            <w:vAlign w:val="center"/>
          </w:tcPr>
          <w:p>
            <w:pPr>
              <w:jc w:val="center"/>
              <w:rPr>
                <w:rFonts w:ascii="宋体" w:hAnsi="宋体"/>
                <w:szCs w:val="21"/>
              </w:rPr>
            </w:pPr>
            <w:r>
              <w:rPr>
                <w:rFonts w:hint="eastAsia" w:ascii="宋体" w:hAnsi="宋体"/>
                <w:szCs w:val="21"/>
              </w:rPr>
              <w:t>　境内证券投资规模</w:t>
            </w:r>
          </w:p>
        </w:tc>
        <w:tc>
          <w:tcPr>
            <w:tcW w:w="3119" w:type="dxa"/>
            <w:shd w:val="clear" w:color="auto" w:fill="auto"/>
            <w:vAlign w:val="center"/>
          </w:tcPr>
          <w:p>
            <w:pPr>
              <w:rPr>
                <w:rFonts w:ascii="宋体" w:hAnsi="宋体"/>
                <w:szCs w:val="21"/>
              </w:rPr>
            </w:pPr>
            <w:r>
              <w:rPr>
                <w:rFonts w:hint="eastAsia" w:ascii="宋体" w:hAnsi="宋体"/>
                <w:szCs w:val="21"/>
              </w:rPr>
              <w:t>结算备付金</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存出保证金</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股票投资</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债券投资</w:t>
            </w:r>
          </w:p>
        </w:tc>
        <w:tc>
          <w:tcPr>
            <w:tcW w:w="3685" w:type="dxa"/>
            <w:shd w:val="clear" w:color="auto" w:fill="auto"/>
            <w:vAlign w:val="center"/>
          </w:tcPr>
          <w:p>
            <w:pPr>
              <w:jc w:val="right"/>
              <w:rPr>
                <w:rFonts w:ascii="宋体" w:hAnsi="宋体"/>
              </w:rPr>
            </w:pPr>
            <w:r>
              <w:rPr>
                <w:rFonts w:ascii="宋体" w:hAnsi="宋体"/>
              </w:rPr>
              <w:t>160,994,016.39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其中：利率债</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其中：信用债</w:t>
            </w:r>
          </w:p>
        </w:tc>
        <w:tc>
          <w:tcPr>
            <w:tcW w:w="3685" w:type="dxa"/>
            <w:shd w:val="clear" w:color="auto" w:fill="auto"/>
            <w:vAlign w:val="center"/>
          </w:tcPr>
          <w:p>
            <w:pPr>
              <w:jc w:val="right"/>
              <w:rPr>
                <w:rFonts w:ascii="宋体" w:hAnsi="宋体"/>
              </w:rPr>
            </w:pPr>
            <w:r>
              <w:rPr>
                <w:rFonts w:ascii="宋体" w:hAnsi="宋体"/>
              </w:rPr>
              <w:t>160,994,016.39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资产支持证券</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基金投资（公募基金）</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其中：货币基金</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center"/>
              <w:rPr>
                <w:rFonts w:ascii="宋体" w:hAnsi="宋体"/>
                <w:szCs w:val="21"/>
              </w:rPr>
            </w:pPr>
          </w:p>
        </w:tc>
        <w:tc>
          <w:tcPr>
            <w:tcW w:w="3119" w:type="dxa"/>
            <w:shd w:val="clear" w:color="auto" w:fill="auto"/>
          </w:tcPr>
          <w:p>
            <w:pPr>
              <w:rPr>
                <w:rFonts w:ascii="宋体" w:hAnsi="宋体"/>
                <w:szCs w:val="21"/>
              </w:rPr>
            </w:pPr>
            <w:r>
              <w:rPr>
                <w:rFonts w:hint="eastAsia" w:ascii="宋体" w:hAnsi="宋体"/>
                <w:szCs w:val="21"/>
              </w:rPr>
              <w:t>期货及衍生品交易保证金</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买入返售金融资产</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其他证券投资类标的</w:t>
            </w:r>
          </w:p>
        </w:tc>
        <w:tc>
          <w:tcPr>
            <w:tcW w:w="3685" w:type="dxa"/>
            <w:shd w:val="clear" w:color="auto" w:fill="auto"/>
          </w:tcPr>
          <w:p>
            <w:pPr>
              <w:jc w:val="right"/>
              <w:rPr>
                <w:rFonts w:ascii="宋体" w:hAnsi="宋体"/>
              </w:rPr>
            </w:pPr>
            <w:r>
              <w:rPr>
                <w:rFonts w:hint="eastAsia" w:ascii="宋体" w:hAnsi="宋体"/>
              </w:rPr>
              <w:t>0</w:t>
            </w:r>
            <w:r>
              <w:rPr>
                <w:rFonts w:ascii="宋体" w:hAnsi="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shd w:val="clear" w:color="auto" w:fill="auto"/>
            <w:vAlign w:val="center"/>
          </w:tcPr>
          <w:p>
            <w:pPr>
              <w:jc w:val="center"/>
              <w:rPr>
                <w:rFonts w:ascii="宋体" w:hAnsi="宋体"/>
                <w:szCs w:val="21"/>
              </w:rPr>
            </w:pPr>
            <w:r>
              <w:rPr>
                <w:rFonts w:hint="eastAsia" w:ascii="宋体" w:hAnsi="宋体"/>
                <w:szCs w:val="21"/>
              </w:rPr>
              <w:t>资管计划投资</w:t>
            </w:r>
          </w:p>
        </w:tc>
        <w:tc>
          <w:tcPr>
            <w:tcW w:w="3119" w:type="dxa"/>
            <w:shd w:val="clear" w:color="auto" w:fill="auto"/>
          </w:tcPr>
          <w:p>
            <w:pPr>
              <w:jc w:val="left"/>
              <w:rPr>
                <w:rFonts w:ascii="宋体" w:hAnsi="宋体"/>
                <w:szCs w:val="21"/>
              </w:rPr>
            </w:pPr>
            <w:r>
              <w:rPr>
                <w:rFonts w:hint="eastAsia" w:ascii="宋体" w:hAnsi="宋体"/>
                <w:szCs w:val="21"/>
              </w:rPr>
              <w:t>商业银行理财产品投资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信托计划投资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基金公司及其子公司资产管理计划投资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保险资产管理计划投资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证券公司及其子公司资产管理计划投资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期货公司及其子公司资产管理计划投资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私募基金产品投资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未在协会备案的合伙企业份额</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jc w:val="left"/>
              <w:rPr>
                <w:rFonts w:ascii="宋体" w:hAnsi="宋体"/>
                <w:szCs w:val="21"/>
              </w:rPr>
            </w:pPr>
            <w:r>
              <w:rPr>
                <w:rFonts w:hint="eastAsia" w:ascii="宋体" w:hAnsi="宋体"/>
                <w:szCs w:val="21"/>
              </w:rPr>
              <w:t>另类投资</w:t>
            </w:r>
          </w:p>
        </w:tc>
        <w:tc>
          <w:tcPr>
            <w:tcW w:w="3119" w:type="dxa"/>
            <w:shd w:val="clear" w:color="auto" w:fill="auto"/>
          </w:tcPr>
          <w:p>
            <w:pPr>
              <w:jc w:val="left"/>
              <w:rPr>
                <w:rFonts w:ascii="宋体" w:hAnsi="宋体"/>
                <w:szCs w:val="21"/>
              </w:rPr>
            </w:pPr>
            <w:r>
              <w:rPr>
                <w:rFonts w:hint="eastAsia" w:ascii="宋体" w:hAnsi="宋体"/>
                <w:szCs w:val="21"/>
              </w:rPr>
              <w:t>另类投资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shd w:val="clear" w:color="auto" w:fill="auto"/>
            <w:vAlign w:val="center"/>
          </w:tcPr>
          <w:p>
            <w:pPr>
              <w:jc w:val="left"/>
              <w:rPr>
                <w:rFonts w:ascii="宋体" w:hAnsi="宋体"/>
                <w:szCs w:val="21"/>
              </w:rPr>
            </w:pPr>
            <w:r>
              <w:rPr>
                <w:rFonts w:hint="eastAsia" w:ascii="宋体" w:hAnsi="宋体"/>
                <w:szCs w:val="21"/>
              </w:rPr>
              <w:t>境内债权投资</w:t>
            </w:r>
          </w:p>
        </w:tc>
        <w:tc>
          <w:tcPr>
            <w:tcW w:w="3119" w:type="dxa"/>
            <w:shd w:val="clear" w:color="auto" w:fill="auto"/>
          </w:tcPr>
          <w:p>
            <w:pPr>
              <w:jc w:val="left"/>
              <w:rPr>
                <w:rFonts w:ascii="宋体" w:hAnsi="宋体"/>
                <w:szCs w:val="21"/>
              </w:rPr>
            </w:pPr>
            <w:r>
              <w:rPr>
                <w:rFonts w:hint="eastAsia" w:ascii="宋体" w:hAnsi="宋体"/>
                <w:szCs w:val="21"/>
              </w:rPr>
              <w:t>银行委托贷款规模</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信托贷款</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应收账款投资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各类受（收）益权投资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票据（承兑汇票等）投资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其他债券投资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jc w:val="left"/>
              <w:rPr>
                <w:rFonts w:ascii="宋体" w:hAnsi="宋体"/>
                <w:szCs w:val="21"/>
              </w:rPr>
            </w:pPr>
            <w:r>
              <w:rPr>
                <w:rFonts w:hint="eastAsia" w:ascii="宋体" w:hAnsi="宋体"/>
                <w:szCs w:val="21"/>
              </w:rPr>
              <w:t>境外投资</w:t>
            </w:r>
          </w:p>
        </w:tc>
        <w:tc>
          <w:tcPr>
            <w:tcW w:w="3119" w:type="dxa"/>
            <w:shd w:val="clear" w:color="auto" w:fill="auto"/>
          </w:tcPr>
          <w:p>
            <w:pPr>
              <w:jc w:val="left"/>
              <w:rPr>
                <w:rFonts w:ascii="宋体" w:hAnsi="宋体"/>
                <w:szCs w:val="21"/>
              </w:rPr>
            </w:pPr>
            <w:r>
              <w:rPr>
                <w:rFonts w:hint="eastAsia" w:ascii="宋体" w:hAnsi="宋体"/>
                <w:szCs w:val="21"/>
              </w:rPr>
              <w:t>境外投资</w:t>
            </w:r>
          </w:p>
        </w:tc>
        <w:tc>
          <w:tcPr>
            <w:tcW w:w="3685" w:type="dxa"/>
            <w:shd w:val="clear" w:color="auto" w:fill="auto"/>
          </w:tcPr>
          <w:p>
            <w:pPr>
              <w:jc w:val="right"/>
              <w:rPr>
                <w:rFonts w:ascii="宋体" w:hAnsi="宋体"/>
              </w:rPr>
            </w:pPr>
            <w:r>
              <w:rPr>
                <w:rFonts w:hint="eastAsia" w:ascii="宋体" w:hAnsi="宋体"/>
              </w:rPr>
              <w:t>0</w:t>
            </w:r>
            <w:r>
              <w:rPr>
                <w:rFonts w:ascii="宋体" w:hAnsi="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jc w:val="left"/>
              <w:rPr>
                <w:rFonts w:ascii="宋体" w:hAnsi="宋体"/>
                <w:szCs w:val="21"/>
              </w:rPr>
            </w:pPr>
            <w:r>
              <w:rPr>
                <w:rFonts w:hint="eastAsia" w:ascii="宋体" w:hAnsi="宋体"/>
                <w:szCs w:val="21"/>
              </w:rPr>
              <w:t>其他资产</w:t>
            </w:r>
          </w:p>
        </w:tc>
        <w:tc>
          <w:tcPr>
            <w:tcW w:w="3119" w:type="dxa"/>
            <w:shd w:val="clear" w:color="auto" w:fill="auto"/>
          </w:tcPr>
          <w:p>
            <w:pPr>
              <w:jc w:val="left"/>
              <w:rPr>
                <w:rFonts w:ascii="宋体" w:hAnsi="宋体"/>
                <w:szCs w:val="21"/>
              </w:rPr>
            </w:pPr>
            <w:r>
              <w:rPr>
                <w:rFonts w:hint="eastAsia" w:ascii="宋体" w:hAnsi="宋体"/>
                <w:szCs w:val="21"/>
              </w:rPr>
              <w:t>其他资产</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shd w:val="clear" w:color="auto" w:fill="auto"/>
            <w:vAlign w:val="center"/>
          </w:tcPr>
          <w:p>
            <w:pPr>
              <w:jc w:val="left"/>
              <w:rPr>
                <w:rFonts w:ascii="宋体" w:hAnsi="宋体"/>
                <w:szCs w:val="21"/>
              </w:rPr>
            </w:pPr>
            <w:r>
              <w:rPr>
                <w:rFonts w:hint="eastAsia" w:ascii="宋体" w:hAnsi="宋体"/>
                <w:szCs w:val="21"/>
              </w:rPr>
              <w:t>基金负债情况</w:t>
            </w:r>
          </w:p>
        </w:tc>
        <w:tc>
          <w:tcPr>
            <w:tcW w:w="3119" w:type="dxa"/>
            <w:shd w:val="clear" w:color="auto" w:fill="auto"/>
          </w:tcPr>
          <w:p>
            <w:pPr>
              <w:jc w:val="left"/>
              <w:rPr>
                <w:rFonts w:ascii="宋体" w:hAnsi="宋体"/>
                <w:szCs w:val="21"/>
              </w:rPr>
            </w:pPr>
            <w:r>
              <w:rPr>
                <w:rFonts w:hint="eastAsia" w:ascii="宋体" w:hAnsi="宋体"/>
                <w:szCs w:val="21"/>
              </w:rPr>
              <w:t>债券回购总额</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融资、融券总额</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其中融券总额</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银行借款总额</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其他融资总额</w:t>
            </w:r>
          </w:p>
        </w:tc>
        <w:tc>
          <w:tcPr>
            <w:tcW w:w="3685" w:type="dxa"/>
            <w:shd w:val="clear" w:color="auto" w:fill="auto"/>
          </w:tcPr>
          <w:p>
            <w:pPr>
              <w:jc w:val="right"/>
              <w:rPr>
                <w:rFonts w:ascii="宋体" w:hAnsi="宋体"/>
              </w:rPr>
            </w:pPr>
            <w:r>
              <w:rPr>
                <w:rFonts w:hint="eastAsia" w:ascii="宋体" w:hAnsi="宋体"/>
              </w:rPr>
              <w:t>0</w:t>
            </w:r>
            <w:r>
              <w:rPr>
                <w:rFonts w:ascii="宋体" w:hAnsi="宋体"/>
              </w:rPr>
              <w:t>.00</w:t>
            </w:r>
          </w:p>
        </w:tc>
      </w:tr>
    </w:tbl>
    <w:p>
      <w:pPr>
        <w:ind w:left="420" w:leftChars="200"/>
        <w:jc w:val="left"/>
        <w:rPr>
          <w:rFonts w:ascii="宋体" w:hAnsi="宋体"/>
          <w:sz w:val="24"/>
        </w:rPr>
      </w:pPr>
      <w:r>
        <w:rPr>
          <w:rFonts w:ascii="宋体" w:hAnsi="宋体"/>
          <w:sz w:val="24"/>
        </w:rPr>
        <w:t xml:space="preserve"> </w:t>
      </w:r>
    </w:p>
    <w:p>
      <w:pPr>
        <w:pStyle w:val="41"/>
        <w:spacing w:before="156" w:after="156"/>
        <w:rPr>
          <w:b w:val="0"/>
          <w:lang w:eastAsia="zh-CN"/>
        </w:rPr>
      </w:pPr>
      <w:r>
        <w:rPr>
          <w:rFonts w:hint="eastAsia"/>
          <w:b w:val="0"/>
        </w:rPr>
        <w:t>报告期末按行业分类的股票投资组合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pPr>
              <w:jc w:val="center"/>
              <w:rPr>
                <w:rFonts w:ascii="宋体" w:hAnsi="宋体"/>
                <w:b/>
                <w:szCs w:val="21"/>
              </w:rPr>
            </w:pPr>
            <w:r>
              <w:rPr>
                <w:rFonts w:hint="eastAsia" w:ascii="宋体" w:hAnsi="宋体"/>
                <w:b/>
                <w:szCs w:val="21"/>
              </w:rPr>
              <w:t>序号</w:t>
            </w:r>
          </w:p>
        </w:tc>
        <w:tc>
          <w:tcPr>
            <w:tcW w:w="3159" w:type="dxa"/>
            <w:shd w:val="clear" w:color="auto" w:fill="D9D9D9"/>
            <w:vAlign w:val="center"/>
          </w:tcPr>
          <w:p>
            <w:pPr>
              <w:jc w:val="left"/>
              <w:rPr>
                <w:rFonts w:ascii="宋体" w:hAnsi="宋体"/>
                <w:b/>
                <w:szCs w:val="21"/>
              </w:rPr>
            </w:pPr>
            <w:r>
              <w:rPr>
                <w:rFonts w:hint="eastAsia" w:ascii="宋体" w:hAnsi="宋体"/>
                <w:b/>
                <w:szCs w:val="21"/>
              </w:rPr>
              <w:t>行业类别</w:t>
            </w:r>
          </w:p>
        </w:tc>
        <w:tc>
          <w:tcPr>
            <w:tcW w:w="2693" w:type="dxa"/>
            <w:shd w:val="clear" w:color="auto" w:fill="D9D9D9"/>
            <w:vAlign w:val="center"/>
          </w:tcPr>
          <w:p>
            <w:pPr>
              <w:jc w:val="left"/>
              <w:rPr>
                <w:rFonts w:ascii="宋体" w:hAnsi="宋体"/>
                <w:b/>
                <w:szCs w:val="21"/>
              </w:rPr>
            </w:pPr>
            <w:r>
              <w:rPr>
                <w:rFonts w:hint="eastAsia" w:ascii="宋体" w:hAnsi="宋体"/>
                <w:b/>
                <w:szCs w:val="21"/>
              </w:rPr>
              <w:t>公允价值</w:t>
            </w:r>
          </w:p>
        </w:tc>
        <w:tc>
          <w:tcPr>
            <w:tcW w:w="2431" w:type="dxa"/>
            <w:shd w:val="clear" w:color="auto" w:fill="D9D9D9"/>
            <w:vAlign w:val="center"/>
          </w:tcPr>
          <w:p>
            <w:pPr>
              <w:jc w:val="left"/>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A</w:t>
            </w:r>
          </w:p>
        </w:tc>
        <w:tc>
          <w:tcPr>
            <w:tcW w:w="3159" w:type="dxa"/>
            <w:shd w:val="clear" w:color="auto" w:fill="auto"/>
            <w:vAlign w:val="center"/>
          </w:tcPr>
          <w:p>
            <w:pPr>
              <w:rPr>
                <w:rFonts w:ascii="宋体" w:hAnsi="宋体"/>
                <w:szCs w:val="21"/>
              </w:rPr>
            </w:pPr>
            <w:r>
              <w:rPr>
                <w:rFonts w:hint="eastAsia" w:ascii="宋体" w:hAnsi="宋体"/>
                <w:szCs w:val="21"/>
              </w:rPr>
              <w:t>农、林、牧、渔业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B</w:t>
            </w:r>
          </w:p>
        </w:tc>
        <w:tc>
          <w:tcPr>
            <w:tcW w:w="3159" w:type="dxa"/>
            <w:shd w:val="clear" w:color="auto" w:fill="auto"/>
            <w:vAlign w:val="center"/>
          </w:tcPr>
          <w:p>
            <w:pPr>
              <w:rPr>
                <w:rFonts w:ascii="宋体" w:hAnsi="宋体"/>
                <w:szCs w:val="21"/>
              </w:rPr>
            </w:pPr>
            <w:r>
              <w:rPr>
                <w:rFonts w:hint="eastAsia" w:ascii="宋体" w:hAnsi="宋体"/>
                <w:szCs w:val="21"/>
              </w:rPr>
              <w:t>采矿业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C</w:t>
            </w:r>
          </w:p>
        </w:tc>
        <w:tc>
          <w:tcPr>
            <w:tcW w:w="3159" w:type="dxa"/>
            <w:shd w:val="clear" w:color="auto" w:fill="auto"/>
            <w:vAlign w:val="center"/>
          </w:tcPr>
          <w:p>
            <w:pPr>
              <w:rPr>
                <w:rFonts w:ascii="宋体" w:hAnsi="宋体"/>
                <w:szCs w:val="21"/>
              </w:rPr>
            </w:pPr>
            <w:r>
              <w:rPr>
                <w:rFonts w:hint="eastAsia" w:ascii="宋体" w:hAnsi="宋体"/>
                <w:szCs w:val="21"/>
              </w:rPr>
              <w:t>制造业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D</w:t>
            </w:r>
          </w:p>
        </w:tc>
        <w:tc>
          <w:tcPr>
            <w:tcW w:w="3159" w:type="dxa"/>
            <w:shd w:val="clear" w:color="auto" w:fill="auto"/>
            <w:vAlign w:val="center"/>
          </w:tcPr>
          <w:p>
            <w:pPr>
              <w:rPr>
                <w:rFonts w:ascii="宋体" w:hAnsi="宋体"/>
                <w:szCs w:val="21"/>
              </w:rPr>
            </w:pPr>
            <w:r>
              <w:rPr>
                <w:rFonts w:hint="eastAsia" w:ascii="宋体" w:hAnsi="宋体"/>
                <w:szCs w:val="21"/>
              </w:rPr>
              <w:t>电力、热力、燃气及水生产和供应业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E</w:t>
            </w:r>
          </w:p>
        </w:tc>
        <w:tc>
          <w:tcPr>
            <w:tcW w:w="3159" w:type="dxa"/>
            <w:shd w:val="clear" w:color="auto" w:fill="auto"/>
            <w:vAlign w:val="center"/>
          </w:tcPr>
          <w:p>
            <w:pPr>
              <w:rPr>
                <w:rFonts w:ascii="宋体" w:hAnsi="宋体"/>
                <w:szCs w:val="21"/>
              </w:rPr>
            </w:pPr>
            <w:r>
              <w:rPr>
                <w:rFonts w:hint="eastAsia" w:ascii="宋体" w:hAnsi="宋体"/>
                <w:szCs w:val="21"/>
              </w:rPr>
              <w:t>建筑业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F</w:t>
            </w:r>
          </w:p>
        </w:tc>
        <w:tc>
          <w:tcPr>
            <w:tcW w:w="3159" w:type="dxa"/>
            <w:shd w:val="clear" w:color="auto" w:fill="auto"/>
            <w:vAlign w:val="center"/>
          </w:tcPr>
          <w:p>
            <w:pPr>
              <w:rPr>
                <w:rFonts w:ascii="宋体" w:hAnsi="宋体"/>
                <w:szCs w:val="21"/>
              </w:rPr>
            </w:pPr>
            <w:r>
              <w:rPr>
                <w:rFonts w:hint="eastAsia" w:ascii="宋体" w:hAnsi="宋体"/>
                <w:szCs w:val="21"/>
              </w:rPr>
              <w:t>批发和零售业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G</w:t>
            </w:r>
          </w:p>
        </w:tc>
        <w:tc>
          <w:tcPr>
            <w:tcW w:w="3159" w:type="dxa"/>
            <w:shd w:val="clear" w:color="auto" w:fill="auto"/>
            <w:vAlign w:val="center"/>
          </w:tcPr>
          <w:p>
            <w:pPr>
              <w:rPr>
                <w:rFonts w:ascii="宋体" w:hAnsi="宋体"/>
                <w:szCs w:val="21"/>
              </w:rPr>
            </w:pPr>
            <w:r>
              <w:rPr>
                <w:rFonts w:hint="eastAsia" w:ascii="宋体" w:hAnsi="宋体"/>
                <w:szCs w:val="21"/>
              </w:rPr>
              <w:t>交通运输、仓储和邮政业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H</w:t>
            </w:r>
          </w:p>
        </w:tc>
        <w:tc>
          <w:tcPr>
            <w:tcW w:w="3159" w:type="dxa"/>
            <w:shd w:val="clear" w:color="auto" w:fill="auto"/>
            <w:vAlign w:val="center"/>
          </w:tcPr>
          <w:p>
            <w:pPr>
              <w:rPr>
                <w:rFonts w:ascii="宋体" w:hAnsi="宋体"/>
                <w:szCs w:val="21"/>
              </w:rPr>
            </w:pPr>
            <w:r>
              <w:rPr>
                <w:rFonts w:hint="eastAsia" w:ascii="宋体" w:hAnsi="宋体"/>
                <w:szCs w:val="21"/>
              </w:rPr>
              <w:t>住宿和餐饮业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I</w:t>
            </w:r>
          </w:p>
        </w:tc>
        <w:tc>
          <w:tcPr>
            <w:tcW w:w="3159" w:type="dxa"/>
            <w:shd w:val="clear" w:color="auto" w:fill="auto"/>
            <w:vAlign w:val="center"/>
          </w:tcPr>
          <w:p>
            <w:pPr>
              <w:rPr>
                <w:rFonts w:ascii="宋体" w:hAnsi="宋体"/>
                <w:szCs w:val="21"/>
              </w:rPr>
            </w:pPr>
            <w:r>
              <w:rPr>
                <w:rFonts w:hint="eastAsia" w:ascii="宋体" w:hAnsi="宋体"/>
                <w:szCs w:val="21"/>
              </w:rPr>
              <w:t>信息传输、软件和信息技术服务业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J</w:t>
            </w:r>
          </w:p>
        </w:tc>
        <w:tc>
          <w:tcPr>
            <w:tcW w:w="3159" w:type="dxa"/>
            <w:shd w:val="clear" w:color="auto" w:fill="auto"/>
            <w:vAlign w:val="center"/>
          </w:tcPr>
          <w:p>
            <w:pPr>
              <w:rPr>
                <w:rFonts w:ascii="宋体" w:hAnsi="宋体"/>
                <w:szCs w:val="21"/>
              </w:rPr>
            </w:pPr>
            <w:r>
              <w:rPr>
                <w:rFonts w:hint="eastAsia" w:ascii="宋体" w:hAnsi="宋体"/>
                <w:szCs w:val="21"/>
              </w:rPr>
              <w:t>金融业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K</w:t>
            </w:r>
          </w:p>
        </w:tc>
        <w:tc>
          <w:tcPr>
            <w:tcW w:w="3159" w:type="dxa"/>
            <w:shd w:val="clear" w:color="auto" w:fill="auto"/>
            <w:vAlign w:val="center"/>
          </w:tcPr>
          <w:p>
            <w:pPr>
              <w:rPr>
                <w:rFonts w:ascii="宋体" w:hAnsi="宋体"/>
                <w:szCs w:val="21"/>
              </w:rPr>
            </w:pPr>
            <w:r>
              <w:rPr>
                <w:rFonts w:hint="eastAsia" w:ascii="宋体" w:hAnsi="宋体"/>
                <w:szCs w:val="21"/>
              </w:rPr>
              <w:t>房地产业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L</w:t>
            </w:r>
          </w:p>
        </w:tc>
        <w:tc>
          <w:tcPr>
            <w:tcW w:w="3159" w:type="dxa"/>
            <w:shd w:val="clear" w:color="auto" w:fill="auto"/>
            <w:vAlign w:val="center"/>
          </w:tcPr>
          <w:p>
            <w:pPr>
              <w:rPr>
                <w:rFonts w:ascii="宋体" w:hAnsi="宋体"/>
                <w:szCs w:val="21"/>
              </w:rPr>
            </w:pPr>
            <w:r>
              <w:rPr>
                <w:rFonts w:hint="eastAsia" w:ascii="宋体" w:hAnsi="宋体"/>
                <w:szCs w:val="21"/>
              </w:rPr>
              <w:t>租赁和商务服务业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M</w:t>
            </w:r>
          </w:p>
        </w:tc>
        <w:tc>
          <w:tcPr>
            <w:tcW w:w="3159" w:type="dxa"/>
            <w:shd w:val="clear" w:color="auto" w:fill="auto"/>
            <w:vAlign w:val="center"/>
          </w:tcPr>
          <w:p>
            <w:pPr>
              <w:rPr>
                <w:rFonts w:ascii="宋体" w:hAnsi="宋体"/>
                <w:szCs w:val="21"/>
              </w:rPr>
            </w:pPr>
            <w:r>
              <w:rPr>
                <w:rFonts w:hint="eastAsia" w:ascii="宋体" w:hAnsi="宋体"/>
                <w:szCs w:val="21"/>
              </w:rPr>
              <w:t>科学研究和技术服务业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N</w:t>
            </w:r>
          </w:p>
        </w:tc>
        <w:tc>
          <w:tcPr>
            <w:tcW w:w="3159" w:type="dxa"/>
            <w:shd w:val="clear" w:color="auto" w:fill="auto"/>
            <w:vAlign w:val="center"/>
          </w:tcPr>
          <w:p>
            <w:pPr>
              <w:rPr>
                <w:rFonts w:ascii="宋体" w:hAnsi="宋体"/>
                <w:szCs w:val="21"/>
              </w:rPr>
            </w:pPr>
            <w:r>
              <w:rPr>
                <w:rFonts w:hint="eastAsia" w:ascii="宋体" w:hAnsi="宋体"/>
                <w:szCs w:val="21"/>
              </w:rPr>
              <w:t>水利、环境和公共设施管理业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O</w:t>
            </w:r>
          </w:p>
        </w:tc>
        <w:tc>
          <w:tcPr>
            <w:tcW w:w="3159" w:type="dxa"/>
            <w:shd w:val="clear" w:color="auto" w:fill="auto"/>
            <w:vAlign w:val="center"/>
          </w:tcPr>
          <w:p>
            <w:pPr>
              <w:rPr>
                <w:rFonts w:ascii="宋体" w:hAnsi="宋体"/>
                <w:szCs w:val="21"/>
              </w:rPr>
            </w:pPr>
            <w:r>
              <w:rPr>
                <w:rFonts w:hint="eastAsia" w:ascii="宋体" w:hAnsi="宋体"/>
                <w:szCs w:val="21"/>
              </w:rPr>
              <w:t>居民服务、修理和其他服务业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P</w:t>
            </w:r>
          </w:p>
        </w:tc>
        <w:tc>
          <w:tcPr>
            <w:tcW w:w="3159" w:type="dxa"/>
            <w:shd w:val="clear" w:color="auto" w:fill="auto"/>
            <w:vAlign w:val="center"/>
          </w:tcPr>
          <w:p>
            <w:pPr>
              <w:rPr>
                <w:rFonts w:ascii="宋体" w:hAnsi="宋体"/>
                <w:szCs w:val="21"/>
              </w:rPr>
            </w:pPr>
            <w:r>
              <w:rPr>
                <w:rFonts w:hint="eastAsia" w:ascii="宋体" w:hAnsi="宋体"/>
                <w:szCs w:val="21"/>
              </w:rPr>
              <w:t>教育</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Q</w:t>
            </w:r>
          </w:p>
        </w:tc>
        <w:tc>
          <w:tcPr>
            <w:tcW w:w="3159" w:type="dxa"/>
            <w:shd w:val="clear" w:color="auto" w:fill="auto"/>
            <w:vAlign w:val="center"/>
          </w:tcPr>
          <w:p>
            <w:pPr>
              <w:rPr>
                <w:rFonts w:ascii="宋体" w:hAnsi="宋体"/>
                <w:szCs w:val="21"/>
              </w:rPr>
            </w:pPr>
            <w:r>
              <w:rPr>
                <w:rFonts w:hint="eastAsia" w:ascii="宋体" w:hAnsi="宋体"/>
                <w:szCs w:val="21"/>
              </w:rPr>
              <w:t>卫生和社会工作</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R</w:t>
            </w:r>
          </w:p>
        </w:tc>
        <w:tc>
          <w:tcPr>
            <w:tcW w:w="3159" w:type="dxa"/>
            <w:shd w:val="clear" w:color="auto" w:fill="auto"/>
            <w:vAlign w:val="center"/>
          </w:tcPr>
          <w:p>
            <w:pPr>
              <w:rPr>
                <w:rFonts w:ascii="宋体" w:hAnsi="宋体"/>
                <w:szCs w:val="21"/>
              </w:rPr>
            </w:pPr>
            <w:r>
              <w:rPr>
                <w:rFonts w:hint="eastAsia" w:ascii="宋体" w:hAnsi="宋体"/>
                <w:szCs w:val="21"/>
              </w:rPr>
              <w:t>文化、体育和娱乐业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S</w:t>
            </w:r>
          </w:p>
        </w:tc>
        <w:tc>
          <w:tcPr>
            <w:tcW w:w="3159" w:type="dxa"/>
            <w:shd w:val="clear" w:color="auto" w:fill="auto"/>
            <w:vAlign w:val="center"/>
          </w:tcPr>
          <w:p>
            <w:pPr>
              <w:rPr>
                <w:rFonts w:ascii="宋体" w:hAnsi="宋体"/>
                <w:szCs w:val="21"/>
              </w:rPr>
            </w:pPr>
            <w:r>
              <w:rPr>
                <w:rFonts w:hint="eastAsia" w:ascii="宋体" w:hAnsi="宋体"/>
                <w:szCs w:val="21"/>
              </w:rPr>
              <w:t>综合</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p>
        </w:tc>
        <w:tc>
          <w:tcPr>
            <w:tcW w:w="3159" w:type="dxa"/>
            <w:shd w:val="clear" w:color="auto" w:fill="auto"/>
            <w:vAlign w:val="center"/>
          </w:tcPr>
          <w:p>
            <w:pPr>
              <w:rPr>
                <w:rFonts w:ascii="宋体" w:hAnsi="宋体"/>
                <w:szCs w:val="21"/>
              </w:rPr>
            </w:pPr>
            <w:r>
              <w:rPr>
                <w:rFonts w:hint="eastAsia" w:ascii="宋体" w:hAnsi="宋体"/>
                <w:szCs w:val="21"/>
              </w:rPr>
              <w:t>合计</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bl>
    <w:p>
      <w:pPr>
        <w:rPr>
          <w:rFonts w:ascii="宋体" w:hAnsi="宋体"/>
          <w:sz w:val="24"/>
        </w:rPr>
      </w:pPr>
      <w:r>
        <w:rPr>
          <w:rFonts w:hint="eastAsia" w:ascii="宋体" w:hAnsi="宋体"/>
          <w:sz w:val="24"/>
        </w:rPr>
        <w:t xml:space="preserve"> </w:t>
      </w:r>
    </w:p>
    <w:p/>
    <w:p>
      <w:pPr>
        <w:pStyle w:val="42"/>
        <w:numPr>
          <w:ilvl w:val="0"/>
          <w:numId w:val="0"/>
        </w:numPr>
        <w:spacing w:before="156" w:after="156"/>
        <w:rPr>
          <w:b w:val="0"/>
          <w:lang w:eastAsia="zh-CN"/>
        </w:rPr>
      </w:pPr>
      <w:r>
        <w:rPr>
          <w:rFonts w:hint="eastAsia"/>
          <w:b w:val="0"/>
          <w:lang w:eastAsia="zh-CN"/>
        </w:rPr>
        <w:t>4.2.2</w:t>
      </w:r>
      <w:r>
        <w:rPr>
          <w:b w:val="0"/>
        </w:rPr>
        <w:t>报告期末按行业分类的沪港通投资股票投资组合</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51"/>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005" w:type="dxa"/>
            <w:shd w:val="clear" w:color="auto" w:fill="DDDDDD"/>
            <w:vAlign w:val="center"/>
          </w:tcPr>
          <w:p>
            <w:pPr>
              <w:jc w:val="left"/>
              <w:rPr>
                <w:rFonts w:ascii="宋体" w:hAnsi="宋体"/>
                <w:b/>
                <w:szCs w:val="21"/>
              </w:rPr>
            </w:pPr>
            <w:r>
              <w:rPr>
                <w:rFonts w:hint="eastAsia" w:ascii="宋体" w:hAnsi="宋体"/>
                <w:b/>
                <w:szCs w:val="21"/>
              </w:rPr>
              <w:t>行业类别</w:t>
            </w:r>
          </w:p>
        </w:tc>
        <w:tc>
          <w:tcPr>
            <w:tcW w:w="3051" w:type="dxa"/>
            <w:shd w:val="clear" w:color="auto" w:fill="DDDDDD"/>
            <w:vAlign w:val="center"/>
          </w:tcPr>
          <w:p>
            <w:pPr>
              <w:jc w:val="left"/>
              <w:rPr>
                <w:rFonts w:ascii="宋体" w:hAnsi="宋体"/>
                <w:b/>
                <w:szCs w:val="21"/>
              </w:rPr>
            </w:pPr>
            <w:r>
              <w:rPr>
                <w:rFonts w:hint="eastAsia" w:ascii="宋体" w:hAnsi="宋体"/>
                <w:b/>
                <w:szCs w:val="21"/>
              </w:rPr>
              <w:t>公允价值（人民币）</w:t>
            </w:r>
          </w:p>
        </w:tc>
        <w:tc>
          <w:tcPr>
            <w:tcW w:w="3004" w:type="dxa"/>
            <w:shd w:val="clear" w:color="auto" w:fill="DDDDDD"/>
            <w:vAlign w:val="center"/>
          </w:tcPr>
          <w:p>
            <w:pPr>
              <w:jc w:val="left"/>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lang w:val="zh-CN"/>
              </w:rPr>
            </w:pPr>
            <w:r>
              <w:rPr>
                <w:rFonts w:ascii="宋体" w:hAnsi="宋体"/>
              </w:rPr>
              <w:t>非日常生活消费品</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工业</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信息技术</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房地产</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公共事业</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医疗保健</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电信业务</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日常消耗品</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能源</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原材料</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金融</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lang w:val="zh-CN"/>
              </w:rPr>
            </w:pPr>
            <w:r>
              <w:rPr>
                <w:rFonts w:hint="eastAsia"/>
                <w:lang w:val="zh-CN"/>
              </w:rPr>
              <w:t>合计</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bl>
    <w:p>
      <w:pPr>
        <w:ind w:left="420" w:leftChars="200"/>
        <w:jc w:val="left"/>
        <w:rPr>
          <w:rFonts w:ascii="宋体" w:hAnsi="宋体"/>
          <w:sz w:val="24"/>
        </w:rPr>
      </w:pPr>
      <w:r>
        <w:rPr>
          <w:rFonts w:ascii="宋体" w:hAnsi="宋体"/>
          <w:sz w:val="24"/>
        </w:rPr>
        <w:t xml:space="preserve"> </w:t>
      </w:r>
    </w:p>
    <w:p>
      <w:pPr>
        <w:ind w:left="420" w:leftChars="200"/>
        <w:jc w:val="left"/>
        <w:rPr>
          <w:rFonts w:ascii="宋体" w:hAnsi="宋体"/>
          <w:sz w:val="24"/>
        </w:rPr>
      </w:pPr>
    </w:p>
    <w:p>
      <w:pPr>
        <w:pStyle w:val="40"/>
        <w:rPr>
          <w:lang w:eastAsia="zh-CN"/>
        </w:rPr>
      </w:pPr>
      <w:r>
        <w:rPr>
          <w:rFonts w:hint="eastAsia"/>
        </w:rPr>
        <w:t>基金份额变动情况</w:t>
      </w:r>
    </w:p>
    <w:p>
      <w:pPr>
        <w:jc w:val="right"/>
      </w:pPr>
      <w:r>
        <w:rPr>
          <w:rFonts w:hint="eastAsia"/>
        </w:rPr>
        <w:t>单位：份</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pPr>
              <w:rPr>
                <w:rFonts w:ascii="宋体" w:hAnsi="宋体" w:cs="宋体"/>
                <w:sz w:val="24"/>
                <w:szCs w:val="24"/>
              </w:rPr>
            </w:pPr>
            <w:r>
              <w:rPr>
                <w:rFonts w:hint="eastAsia"/>
              </w:rPr>
              <w:t>报告期期初基金份额总额</w:t>
            </w:r>
          </w:p>
        </w:tc>
        <w:tc>
          <w:tcPr>
            <w:tcW w:w="4530" w:type="dxa"/>
            <w:shd w:val="clear" w:color="auto" w:fill="auto"/>
            <w:vAlign w:val="center"/>
          </w:tcPr>
          <w:p>
            <w:pPr>
              <w:jc w:val="right"/>
              <w:rPr>
                <w:rFonts w:ascii="宋体" w:hAnsi="宋体"/>
              </w:rPr>
            </w:pPr>
            <w:r>
              <w:rPr>
                <w:rFonts w:ascii="宋体" w:hAnsi="宋体"/>
              </w:rPr>
              <w:t>149,888,089.53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pPr>
              <w:rPr>
                <w:rFonts w:ascii="宋体" w:hAnsi="宋体" w:cs="宋体"/>
                <w:sz w:val="24"/>
                <w:szCs w:val="24"/>
              </w:rPr>
            </w:pPr>
            <w:r>
              <w:rPr>
                <w:rFonts w:hint="eastAsia"/>
              </w:rPr>
              <w:t>报告期期间基金总申购份额</w:t>
            </w:r>
          </w:p>
        </w:tc>
        <w:tc>
          <w:tcPr>
            <w:tcW w:w="4530"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pPr>
              <w:rPr>
                <w:rFonts w:ascii="宋体" w:hAnsi="宋体" w:cs="宋体"/>
                <w:sz w:val="24"/>
                <w:szCs w:val="24"/>
              </w:rPr>
            </w:pPr>
            <w:r>
              <w:rPr>
                <w:rFonts w:hint="eastAsia"/>
              </w:rPr>
              <w:t xml:space="preserve">减：报告期期间基金总赎回份额 </w:t>
            </w:r>
          </w:p>
        </w:tc>
        <w:tc>
          <w:tcPr>
            <w:tcW w:w="4530"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pPr>
              <w:rPr>
                <w:rFonts w:ascii="宋体" w:hAnsi="宋体" w:cs="宋体"/>
                <w:sz w:val="24"/>
                <w:szCs w:val="24"/>
              </w:rPr>
            </w:pPr>
            <w:r>
              <w:rPr>
                <w:rFonts w:hint="eastAsia"/>
              </w:rPr>
              <w:t>报告期期间基金拆分变动份额（份额减少以“-”填列）</w:t>
            </w:r>
          </w:p>
        </w:tc>
        <w:tc>
          <w:tcPr>
            <w:tcW w:w="4530"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pPr>
              <w:rPr>
                <w:rFonts w:ascii="宋体" w:hAnsi="宋体" w:cs="宋体"/>
                <w:sz w:val="24"/>
                <w:szCs w:val="24"/>
              </w:rPr>
            </w:pPr>
            <w:r>
              <w:rPr>
                <w:rFonts w:hint="eastAsia"/>
              </w:rPr>
              <w:t>报告期期末基金份额总额</w:t>
            </w:r>
          </w:p>
        </w:tc>
        <w:tc>
          <w:tcPr>
            <w:tcW w:w="4530" w:type="dxa"/>
            <w:shd w:val="clear" w:color="auto" w:fill="auto"/>
            <w:vAlign w:val="center"/>
          </w:tcPr>
          <w:p>
            <w:pPr>
              <w:jc w:val="right"/>
              <w:rPr>
                <w:rFonts w:ascii="宋体" w:hAnsi="宋体"/>
              </w:rPr>
            </w:pPr>
            <w:r>
              <w:rPr>
                <w:rFonts w:ascii="宋体" w:hAnsi="宋体"/>
              </w:rPr>
              <w:t>149,888,089.53</w:t>
            </w:r>
          </w:p>
        </w:tc>
      </w:tr>
    </w:tbl>
    <w:p>
      <w:pPr>
        <w:ind w:left="420" w:leftChars="200"/>
        <w:jc w:val="left"/>
        <w:rPr>
          <w:rFonts w:ascii="宋体" w:hAnsi="宋体"/>
          <w:sz w:val="24"/>
        </w:rPr>
      </w:pPr>
      <w:r>
        <w:rPr>
          <w:rFonts w:ascii="宋体" w:hAnsi="宋体"/>
          <w:sz w:val="24"/>
        </w:rPr>
        <w:t xml:space="preserve"> </w:t>
      </w:r>
    </w:p>
    <w:p>
      <w:pPr>
        <w:ind w:left="424" w:leftChars="202"/>
        <w:jc w:val="left"/>
        <w:rPr>
          <w:rFonts w:ascii="宋体" w:hAnsi="宋体"/>
          <w:sz w:val="24"/>
        </w:rPr>
      </w:pPr>
    </w:p>
    <w:p>
      <w:pPr>
        <w:pStyle w:val="40"/>
      </w:pPr>
      <w:r>
        <w:rPr>
          <w:rFonts w:hint="eastAsia"/>
        </w:rPr>
        <w:t>管理人报告</w:t>
      </w:r>
    </w:p>
    <w:p>
      <w:pPr>
        <w:spacing w:line="360" w:lineRule="auto"/>
        <w:rPr>
          <w:rFonts w:hint="eastAsia" w:eastAsia="宋体"/>
          <w:lang w:val="en-US" w:eastAsia="zh-Hans"/>
        </w:rPr>
      </w:pPr>
      <w:r>
        <w:rPr>
          <w:rFonts w:hint="eastAsia" w:eastAsia="宋体"/>
          <w:lang w:val="en-US" w:eastAsia="zh-Hans"/>
        </w:rPr>
        <w:t>6.1 报告期内基金投资决策依据和业绩表现</w:t>
      </w:r>
    </w:p>
    <w:p>
      <w:pPr>
        <w:spacing w:line="360" w:lineRule="auto"/>
        <w:ind w:firstLine="420" w:firstLineChars="200"/>
        <w:rPr>
          <w:rFonts w:hint="eastAsia" w:eastAsia="宋体"/>
          <w:lang w:val="en-US" w:eastAsia="zh-Hans"/>
        </w:rPr>
      </w:pPr>
      <w:r>
        <w:rPr>
          <w:rFonts w:hint="eastAsia" w:eastAsia="宋体"/>
          <w:lang w:val="en-US" w:eastAsia="zh-Hans"/>
        </w:rPr>
        <w:t>本计划投资决策依据:本计划整体为固收策略，选择合适的银行间及交易所债券，以债券配置策略为主。截止 202</w:t>
      </w:r>
      <w:r>
        <w:rPr>
          <w:rFonts w:hint="eastAsia"/>
          <w:lang w:val="en-US" w:eastAsia="zh-CN"/>
        </w:rPr>
        <w:t>4</w:t>
      </w:r>
      <w:bookmarkStart w:id="0" w:name="_GoBack"/>
      <w:bookmarkEnd w:id="0"/>
      <w:r>
        <w:rPr>
          <w:rFonts w:hint="eastAsia" w:eastAsia="宋体"/>
          <w:lang w:val="en-US" w:eastAsia="zh-Hans"/>
        </w:rPr>
        <w:t xml:space="preserve">年 </w:t>
      </w:r>
      <w:r>
        <w:rPr>
          <w:rFonts w:hint="eastAsia"/>
          <w:lang w:val="en-US" w:eastAsia="zh-CN"/>
        </w:rPr>
        <w:t>3</w:t>
      </w:r>
      <w:r>
        <w:rPr>
          <w:rFonts w:hint="eastAsia" w:eastAsia="宋体"/>
          <w:lang w:val="en-US" w:eastAsia="zh-Hans"/>
        </w:rPr>
        <w:t xml:space="preserve"> 月 31 日本基金期末基金单位净值为1.0</w:t>
      </w:r>
      <w:r>
        <w:rPr>
          <w:rFonts w:hint="eastAsia"/>
          <w:lang w:val="en-US" w:eastAsia="zh-CN"/>
        </w:rPr>
        <w:t>723</w:t>
      </w:r>
      <w:r>
        <w:rPr>
          <w:rFonts w:hint="eastAsia" w:eastAsia="宋体"/>
          <w:lang w:val="en-US" w:eastAsia="zh-Hans"/>
        </w:rPr>
        <w:t>元，期末基金累计单位净值 1.0</w:t>
      </w:r>
      <w:r>
        <w:rPr>
          <w:rFonts w:hint="eastAsia"/>
          <w:lang w:val="en-US" w:eastAsia="zh-CN"/>
        </w:rPr>
        <w:t>723</w:t>
      </w:r>
      <w:r>
        <w:rPr>
          <w:rFonts w:hint="eastAsia" w:eastAsia="宋体"/>
          <w:lang w:val="en-US" w:eastAsia="zh-Hans"/>
        </w:rPr>
        <w:t xml:space="preserve"> 元。</w:t>
      </w:r>
    </w:p>
    <w:p>
      <w:pPr>
        <w:spacing w:line="360" w:lineRule="auto"/>
        <w:rPr>
          <w:rFonts w:hint="eastAsia" w:eastAsia="宋体"/>
          <w:lang w:val="en-US" w:eastAsia="zh-Hans"/>
        </w:rPr>
      </w:pPr>
      <w:r>
        <w:rPr>
          <w:rFonts w:hint="eastAsia" w:eastAsia="宋体"/>
          <w:lang w:val="en-US" w:eastAsia="zh-Hans"/>
        </w:rPr>
        <w:t>6.2 投资经理</w:t>
      </w:r>
    </w:p>
    <w:p>
      <w:pPr>
        <w:spacing w:line="360" w:lineRule="auto"/>
        <w:ind w:firstLine="420" w:firstLineChars="200"/>
        <w:rPr>
          <w:rFonts w:hint="eastAsia" w:eastAsia="宋体"/>
          <w:lang w:val="en-US" w:eastAsia="zh-Hans"/>
        </w:rPr>
      </w:pPr>
      <w:r>
        <w:rPr>
          <w:rFonts w:hint="eastAsia" w:eastAsia="宋体"/>
          <w:lang w:val="en-US" w:eastAsia="zh-Hans"/>
        </w:rPr>
        <w:t>本计划投资经理廉正，期货从业资格编码:F3054039，本计划本报告期内未发生变更。</w:t>
      </w:r>
    </w:p>
    <w:p>
      <w:pPr>
        <w:spacing w:line="360" w:lineRule="auto"/>
        <w:ind w:firstLine="420" w:firstLineChars="200"/>
        <w:rPr>
          <w:rFonts w:hint="eastAsia" w:eastAsia="宋体"/>
          <w:lang w:val="en-US" w:eastAsia="zh-Hans"/>
        </w:rPr>
      </w:pPr>
      <w:r>
        <w:rPr>
          <w:rFonts w:hint="eastAsia" w:eastAsia="宋体"/>
          <w:lang w:val="en-US" w:eastAsia="zh-Hans"/>
        </w:rPr>
        <w:t>投资经理从业经验:产业经济学硕士，现任兴证期货资产管理部总经理兼投资经理。2011年至 2015 年 9月历任新湖期货有限公司研究所资深分析师、资产管理部投资经理、部门副经理;2015 年 9 月至 2018年 11月任西南期货有限公司资产管理部总经理兼投资经理.2018年 11月加盟兴证期货资产管理部。长期从事宏观经济、商品及大类资产配置研究和投资工作。</w:t>
      </w:r>
    </w:p>
    <w:p>
      <w:pPr>
        <w:spacing w:line="360" w:lineRule="auto"/>
        <w:ind w:firstLine="420" w:firstLineChars="200"/>
        <w:rPr>
          <w:rFonts w:hint="eastAsia" w:ascii="Times New Roman" w:hAnsi="Times New Roman" w:eastAsia="宋体"/>
          <w:b w:val="0"/>
          <w:bCs w:val="0"/>
          <w:kern w:val="2"/>
          <w:sz w:val="21"/>
          <w:szCs w:val="20"/>
          <w:lang w:val="en-US" w:eastAsia="zh-Hans"/>
        </w:rPr>
      </w:pPr>
      <w:r>
        <w:rPr>
          <w:rFonts w:hint="eastAsia" w:eastAsia="宋体"/>
          <w:lang w:val="en-US" w:eastAsia="zh-Hans"/>
        </w:rPr>
        <w:t>本计划投资经理邢敏，期货从业资格编码:F03087819，本计划本报告期内未发生变更</w:t>
      </w:r>
      <w:r>
        <w:rPr>
          <w:rFonts w:hint="eastAsia" w:ascii="Times New Roman" w:hAnsi="Times New Roman" w:eastAsia="宋体"/>
          <w:b w:val="0"/>
          <w:bCs w:val="0"/>
          <w:kern w:val="2"/>
          <w:sz w:val="21"/>
          <w:szCs w:val="20"/>
          <w:lang w:val="en-US" w:eastAsia="zh-Hans"/>
        </w:rPr>
        <w:t>。</w:t>
      </w:r>
    </w:p>
    <w:p>
      <w:pPr>
        <w:spacing w:line="360" w:lineRule="auto"/>
        <w:ind w:firstLine="420" w:firstLineChars="200"/>
        <w:rPr>
          <w:rFonts w:hint="eastAsia"/>
          <w:lang w:val="en-US" w:eastAsia="zh-Hans"/>
        </w:rPr>
      </w:pPr>
      <w:r>
        <w:rPr>
          <w:rFonts w:hint="eastAsia"/>
          <w:lang w:val="en-US" w:eastAsia="zh-Hans"/>
        </w:rPr>
        <w:t>投资经理从业经验:材料物理学与金融学双学士，现任兴证期货资产管理部投资经理。有六年的债券固收投资交易经验,2017 年 7 月至 2021年 6 月在私募公司任交易部副总经理、投资经理，2021 年 7月加入兴证期货资管部。</w:t>
      </w:r>
    </w:p>
    <w:p>
      <w:pPr>
        <w:spacing w:line="360" w:lineRule="auto"/>
        <w:ind w:firstLine="420" w:firstLineChars="200"/>
        <w:rPr>
          <w:rFonts w:hint="eastAsia"/>
          <w:lang w:val="en-US" w:eastAsia="zh-Hans"/>
        </w:rPr>
      </w:pPr>
      <w:r>
        <w:rPr>
          <w:rFonts w:hint="eastAsia"/>
          <w:lang w:val="en-US" w:eastAsia="zh-Hans"/>
        </w:rPr>
        <w:t>本计划投资经理符合法律法规规定的以下条件:</w:t>
      </w:r>
    </w:p>
    <w:p>
      <w:pPr>
        <w:spacing w:line="360" w:lineRule="auto"/>
        <w:ind w:firstLine="420" w:firstLineChars="200"/>
        <w:rPr>
          <w:rFonts w:hint="eastAsia"/>
          <w:lang w:val="en-US" w:eastAsia="zh-Hans"/>
        </w:rPr>
      </w:pPr>
      <w:r>
        <w:rPr>
          <w:rFonts w:hint="eastAsia"/>
          <w:lang w:val="en-US" w:eastAsia="zh-Hans"/>
        </w:rPr>
        <w:t>(1) 己取得从业资格;</w:t>
      </w:r>
    </w:p>
    <w:p>
      <w:pPr>
        <w:spacing w:line="360" w:lineRule="auto"/>
        <w:ind w:firstLine="420" w:firstLineChars="200"/>
        <w:rPr>
          <w:rFonts w:hint="eastAsia"/>
          <w:lang w:val="en-US" w:eastAsia="zh-Hans"/>
        </w:rPr>
      </w:pPr>
      <w:r>
        <w:rPr>
          <w:rFonts w:hint="eastAsia"/>
          <w:lang w:val="en-US" w:eastAsia="zh-Hans"/>
        </w:rPr>
        <w:t>(2) 具有 3 年以上投资管理、投资研究、投资咨询等相关业务经验;</w:t>
      </w:r>
    </w:p>
    <w:p>
      <w:pPr>
        <w:spacing w:line="360" w:lineRule="auto"/>
        <w:ind w:firstLine="420" w:firstLineChars="200"/>
        <w:rPr>
          <w:rFonts w:hint="eastAsia"/>
          <w:lang w:val="en-US" w:eastAsia="zh-Hans"/>
        </w:rPr>
      </w:pPr>
      <w:r>
        <w:rPr>
          <w:rFonts w:hint="eastAsia"/>
          <w:lang w:val="en-US" w:eastAsia="zh-Hans"/>
        </w:rPr>
        <w:t>(3)具有良好的诚信记录及职业操守，且最近 3 年未被监管机构采取重大行政监管措施行政处罚。</w:t>
      </w:r>
    </w:p>
    <w:p>
      <w:pPr>
        <w:spacing w:line="360" w:lineRule="auto"/>
        <w:rPr>
          <w:rFonts w:hint="eastAsia"/>
          <w:lang w:val="en-US" w:eastAsia="zh-Hans"/>
        </w:rPr>
      </w:pPr>
      <w:r>
        <w:rPr>
          <w:rFonts w:hint="eastAsia"/>
          <w:lang w:val="en-US" w:eastAsia="zh-Hans"/>
        </w:rPr>
        <w:t>6.3 报告期内基金估值程序</w:t>
      </w:r>
    </w:p>
    <w:p>
      <w:pPr>
        <w:spacing w:line="360" w:lineRule="auto"/>
        <w:ind w:firstLine="420" w:firstLineChars="200"/>
        <w:rPr>
          <w:rFonts w:hint="eastAsia"/>
          <w:lang w:val="en-US" w:eastAsia="zh-Hans"/>
        </w:rPr>
      </w:pPr>
      <w:r>
        <w:rPr>
          <w:rFonts w:hint="eastAsia"/>
          <w:lang w:val="en-US" w:eastAsia="zh-Hans"/>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spacing w:line="360" w:lineRule="auto"/>
        <w:rPr>
          <w:rFonts w:hint="eastAsia"/>
          <w:lang w:val="en-US" w:eastAsia="zh-Hans"/>
        </w:rPr>
      </w:pPr>
      <w:r>
        <w:rPr>
          <w:rFonts w:hint="eastAsia"/>
          <w:lang w:val="en-US" w:eastAsia="zh-Hans"/>
        </w:rPr>
        <w:t>6.4 报告期内管理人履职情况</w:t>
      </w:r>
    </w:p>
    <w:p>
      <w:pPr>
        <w:spacing w:line="360" w:lineRule="auto"/>
        <w:ind w:firstLine="420" w:firstLineChars="200"/>
        <w:rPr>
          <w:rFonts w:hint="eastAsia"/>
          <w:lang w:val="en-US" w:eastAsia="zh-Hans"/>
        </w:rPr>
      </w:pPr>
      <w:r>
        <w:rPr>
          <w:rFonts w:hint="eastAsia"/>
          <w:lang w:val="en-US" w:eastAsia="zh-Hans"/>
        </w:rPr>
        <w:t>公司在资产管理业务经营过程中，将严格遵守以下管理人的职责:</w:t>
      </w:r>
    </w:p>
    <w:p>
      <w:pPr>
        <w:spacing w:line="360" w:lineRule="auto"/>
        <w:ind w:firstLine="420" w:firstLineChars="200"/>
        <w:rPr>
          <w:rFonts w:hint="eastAsia"/>
          <w:lang w:val="en-US" w:eastAsia="zh-Hans"/>
        </w:rPr>
      </w:pPr>
      <w:r>
        <w:rPr>
          <w:rFonts w:hint="eastAsia"/>
          <w:lang w:val="en-US" w:eastAsia="zh-Hans"/>
        </w:rPr>
        <w:t>(1)依法办理资产管理计划的销售、登记、备案事宜;</w:t>
      </w:r>
    </w:p>
    <w:p>
      <w:pPr>
        <w:spacing w:line="360" w:lineRule="auto"/>
        <w:ind w:firstLine="420" w:firstLineChars="200"/>
        <w:rPr>
          <w:rFonts w:hint="eastAsia"/>
          <w:lang w:val="en-US" w:eastAsia="zh-Hans"/>
        </w:rPr>
      </w:pPr>
      <w:r>
        <w:rPr>
          <w:rFonts w:hint="eastAsia"/>
          <w:lang w:val="en-US" w:eastAsia="zh-Hans"/>
        </w:rPr>
        <w:t>(2)对所管理的不同资产管理计划的受托财产分别管理、分别记账，进行投资;</w:t>
      </w:r>
    </w:p>
    <w:p>
      <w:pPr>
        <w:spacing w:line="360" w:lineRule="auto"/>
        <w:ind w:firstLine="420" w:firstLineChars="200"/>
        <w:rPr>
          <w:rFonts w:hint="eastAsia"/>
          <w:lang w:val="en-US" w:eastAsia="zh-Hans"/>
        </w:rPr>
      </w:pPr>
      <w:r>
        <w:rPr>
          <w:rFonts w:hint="eastAsia"/>
          <w:lang w:val="en-US" w:eastAsia="zh-Hans"/>
        </w:rPr>
        <w:t>(3)按照资产管理合同的约定确定收益分配方案，及时向投资者分配收益;</w:t>
      </w:r>
    </w:p>
    <w:p>
      <w:pPr>
        <w:spacing w:line="360" w:lineRule="auto"/>
        <w:ind w:firstLine="420" w:firstLineChars="200"/>
        <w:rPr>
          <w:rFonts w:hint="eastAsia"/>
          <w:lang w:val="en-US" w:eastAsia="zh-Hans"/>
        </w:rPr>
      </w:pPr>
      <w:r>
        <w:rPr>
          <w:rFonts w:hint="eastAsia"/>
          <w:lang w:val="en-US" w:eastAsia="zh-Hans"/>
        </w:rPr>
        <w:t>(4)进行资产管理计划会计核算并编制资产管理计划财务会计报告;</w:t>
      </w:r>
    </w:p>
    <w:p>
      <w:pPr>
        <w:spacing w:line="360" w:lineRule="auto"/>
        <w:ind w:firstLine="420" w:firstLineChars="200"/>
        <w:rPr>
          <w:rFonts w:hint="eastAsia"/>
          <w:lang w:val="en-US" w:eastAsia="zh-Hans"/>
        </w:rPr>
      </w:pPr>
      <w:r>
        <w:rPr>
          <w:rFonts w:hint="eastAsia"/>
          <w:lang w:val="en-US" w:eastAsia="zh-Hans"/>
        </w:rPr>
        <w:t>(5)依法计算并披露资产管理计划净值，确定参与、退出价格;</w:t>
      </w:r>
    </w:p>
    <w:p>
      <w:pPr>
        <w:spacing w:line="360" w:lineRule="auto"/>
        <w:ind w:firstLine="420" w:firstLineChars="200"/>
        <w:rPr>
          <w:rFonts w:hint="default"/>
          <w:lang w:eastAsia="zh-Hans"/>
        </w:rPr>
      </w:pPr>
      <w:r>
        <w:rPr>
          <w:rFonts w:hint="eastAsia"/>
          <w:lang w:val="en-US" w:eastAsia="zh-Hans"/>
        </w:rPr>
        <w:t>(6)办理与受托财产管理业务活动有关的信息披露事项;</w:t>
      </w:r>
      <w:r>
        <w:rPr>
          <w:rFonts w:hint="default"/>
          <w:lang w:eastAsia="zh-Hans"/>
        </w:rPr>
        <w:t xml:space="preserve"> </w:t>
      </w:r>
    </w:p>
    <w:p>
      <w:pPr>
        <w:spacing w:line="360" w:lineRule="auto"/>
        <w:ind w:firstLine="420" w:firstLineChars="200"/>
        <w:rPr>
          <w:rFonts w:hint="eastAsia"/>
          <w:lang w:val="en-US" w:eastAsia="zh-Hans"/>
        </w:rPr>
      </w:pPr>
      <w:r>
        <w:rPr>
          <w:rFonts w:hint="eastAsia"/>
          <w:lang w:val="en-US" w:eastAsia="zh-Hans"/>
        </w:rPr>
        <w:t>(7)保存受托财产管理业务活动的记录、账册、报表和其他相关资料；</w:t>
      </w:r>
    </w:p>
    <w:p>
      <w:pPr>
        <w:spacing w:line="360" w:lineRule="auto"/>
        <w:ind w:firstLine="420" w:firstLineChars="200"/>
        <w:rPr>
          <w:rFonts w:hint="eastAsia"/>
          <w:lang w:val="en-US" w:eastAsia="zh-Hans"/>
        </w:rPr>
      </w:pPr>
      <w:r>
        <w:rPr>
          <w:rFonts w:hint="eastAsia"/>
          <w:lang w:val="en-US" w:eastAsia="zh-Hans"/>
        </w:rPr>
        <w:t>(8)以管理人名义，代表投资者利益行使诉讼权利或者实施其他法律行为；</w:t>
      </w:r>
    </w:p>
    <w:p>
      <w:pPr>
        <w:spacing w:line="360" w:lineRule="auto"/>
        <w:ind w:firstLine="420" w:firstLineChars="200"/>
        <w:rPr>
          <w:rFonts w:hint="eastAsia"/>
          <w:lang w:val="en-US" w:eastAsia="zh-Hans"/>
        </w:rPr>
      </w:pPr>
      <w:r>
        <w:rPr>
          <w:rFonts w:hint="eastAsia"/>
          <w:lang w:val="en-US" w:eastAsia="zh-Hans"/>
        </w:rPr>
        <w:t>(9)保证向投资者支付的受托资金及收益返回其参与资产管理计划时使用的结算账户或其同名账户;</w:t>
      </w:r>
    </w:p>
    <w:p>
      <w:pPr>
        <w:spacing w:line="360" w:lineRule="auto"/>
        <w:ind w:firstLine="420" w:firstLineChars="200"/>
        <w:rPr>
          <w:rFonts w:hint="eastAsia"/>
          <w:lang w:val="en-US" w:eastAsia="zh-Hans"/>
        </w:rPr>
      </w:pPr>
      <w:r>
        <w:rPr>
          <w:rFonts w:hint="eastAsia"/>
          <w:lang w:val="en-US" w:eastAsia="zh-Hans"/>
        </w:rPr>
        <w:t>(10) 法律、行政法规和中国证监会规定的其他职责。</w:t>
      </w:r>
    </w:p>
    <w:p>
      <w:pPr>
        <w:spacing w:line="360" w:lineRule="auto"/>
        <w:rPr>
          <w:rFonts w:ascii="宋体" w:hAnsi="宋体"/>
          <w:szCs w:val="21"/>
        </w:rPr>
      </w:pPr>
      <w:r>
        <w:rPr>
          <w:rFonts w:hint="default" w:ascii="宋体" w:hAnsi="宋体"/>
          <w:szCs w:val="21"/>
        </w:rPr>
        <w:t>6</w:t>
      </w:r>
      <w:r>
        <w:rPr>
          <w:rFonts w:hint="eastAsia" w:ascii="宋体" w:hAnsi="宋体"/>
          <w:szCs w:val="21"/>
        </w:rPr>
        <w:t>.5 文件存放地点</w:t>
      </w:r>
    </w:p>
    <w:p>
      <w:pPr>
        <w:spacing w:line="360" w:lineRule="auto"/>
        <w:ind w:firstLine="420" w:firstLineChars="200"/>
        <w:rPr>
          <w:rFonts w:ascii="宋体" w:hAnsi="宋体"/>
          <w:szCs w:val="21"/>
        </w:rPr>
      </w:pPr>
      <w:r>
        <w:rPr>
          <w:rFonts w:hint="eastAsia" w:ascii="宋体" w:hAnsi="宋体"/>
          <w:szCs w:val="21"/>
        </w:rPr>
        <w:t>兴证期货有限公司</w:t>
      </w:r>
    </w:p>
    <w:p>
      <w:pPr>
        <w:spacing w:line="360" w:lineRule="auto"/>
        <w:ind w:firstLine="420" w:firstLineChars="200"/>
        <w:rPr>
          <w:rFonts w:ascii="宋体" w:hAnsi="宋体"/>
          <w:szCs w:val="21"/>
        </w:rPr>
      </w:pPr>
      <w:r>
        <w:rPr>
          <w:rFonts w:hint="eastAsia" w:ascii="宋体" w:hAnsi="宋体"/>
          <w:szCs w:val="21"/>
        </w:rPr>
        <w:t>地址：上海市浦东新区长柳路36号兴业证券大厦8楼</w:t>
      </w:r>
    </w:p>
    <w:p>
      <w:pPr>
        <w:spacing w:line="360" w:lineRule="auto"/>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spacing w:line="360" w:lineRule="auto"/>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spacing w:line="360" w:lineRule="auto"/>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spacing w:line="360" w:lineRule="auto"/>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49"/>
        <w:numPr>
          <w:ilvl w:val="0"/>
          <w:numId w:val="0"/>
        </w:numPr>
        <w:spacing w:line="360" w:lineRule="auto"/>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spacing w:line="360" w:lineRule="auto"/>
        <w:ind w:firstLine="420" w:firstLineChars="200"/>
        <w:rPr>
          <w:rFonts w:hint="eastAsia"/>
          <w:lang w:eastAsia="zh-Hans"/>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p>
      <w:pPr>
        <w:spacing w:line="360" w:lineRule="auto"/>
        <w:ind w:firstLine="420" w:firstLineChars="200"/>
        <w:jc w:val="left"/>
        <w:rPr>
          <w:rFonts w:hint="eastAsia" w:ascii="宋体" w:hAnsi="宋体"/>
          <w:sz w:val="21"/>
          <w:szCs w:val="21"/>
        </w:rPr>
      </w:pPr>
    </w:p>
    <w:p>
      <w:pPr>
        <w:spacing w:line="360" w:lineRule="auto"/>
        <w:ind w:firstLine="420" w:firstLineChars="200"/>
        <w:jc w:val="left"/>
        <w:rPr>
          <w:rFonts w:hint="eastAsia" w:ascii="宋体" w:hAnsi="宋体"/>
          <w:sz w:val="21"/>
          <w:szCs w:val="21"/>
        </w:rPr>
      </w:pPr>
      <w:r>
        <w:rPr>
          <w:rFonts w:hint="eastAsia" w:ascii="宋体" w:hAnsi="宋体"/>
          <w:sz w:val="21"/>
          <w:szCs w:val="21"/>
        </w:rPr>
        <w:t>报告是否经托管机构复核：是</w:t>
      </w:r>
    </w:p>
    <w:p>
      <w:pPr>
        <w:ind w:firstLine="480" w:firstLineChars="200"/>
        <w:jc w:val="left"/>
        <w:rPr>
          <w:rFonts w:ascii="宋体" w:hAnsi="宋体"/>
          <w:sz w:val="24"/>
        </w:rPr>
      </w:pPr>
    </w:p>
    <w:p>
      <w:pPr>
        <w:ind w:firstLine="480" w:firstLineChars="200"/>
        <w:jc w:val="lef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szCs w:val="30"/>
        </w:rPr>
      </w:pPr>
    </w:p>
    <w:sectPr>
      <w:footerReference r:id="rId3" w:type="default"/>
      <w:footerReference r:id="rId4" w:type="even"/>
      <w:pgSz w:w="11906" w:h="16838"/>
      <w:pgMar w:top="1440" w:right="1531" w:bottom="1134" w:left="1531" w:header="851" w:footer="992" w:gutter="0"/>
      <w:pgNumType w:fmt="decimal" w:start="1" w:chapSep="hyphen"/>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rPr>
        <w:rStyle w:val="20"/>
        <w:rFonts w:hint="eastAsia"/>
      </w:rPr>
      <w:t xml:space="preserve"> </w:t>
    </w:r>
  </w:p>
  <w:p>
    <w:pPr>
      <w:pStyle w:val="10"/>
      <w:ind w:righ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lvlText w:val="%1、"/>
      <w:lvlJc w:val="left"/>
      <w:pPr>
        <w:ind w:left="420" w:hanging="420"/>
      </w:pPr>
      <w:rPr>
        <w:rFonts w:hint="eastAsia"/>
      </w:rPr>
    </w:lvl>
    <w:lvl w:ilvl="1" w:tentative="0">
      <w:start w:val="1"/>
      <w:numFmt w:val="decimal"/>
      <w:pStyle w:val="41"/>
      <w:suff w:val="space"/>
      <w:lvlText w:val="%1.%2"/>
      <w:lvlJc w:val="left"/>
      <w:pPr>
        <w:ind w:left="454" w:hanging="454"/>
      </w:pPr>
      <w:rPr>
        <w:rFonts w:hint="eastAsia"/>
      </w:rPr>
    </w:lvl>
    <w:lvl w:ilvl="2" w:tentative="0">
      <w:start w:val="1"/>
      <w:numFmt w:val="decimal"/>
      <w:pStyle w:val="42"/>
      <w:suff w:val="space"/>
      <w:lvlText w:val="%1.%2.%3"/>
      <w:lvlJc w:val="left"/>
      <w:pPr>
        <w:ind w:left="1050" w:hanging="624"/>
      </w:pPr>
      <w:rPr>
        <w:rFonts w:hint="eastAsia"/>
      </w:rPr>
    </w:lvl>
    <w:lvl w:ilvl="3" w:tentative="0">
      <w:start w:val="1"/>
      <w:numFmt w:val="decimal"/>
      <w:pStyle w:val="43"/>
      <w:suff w:val="space"/>
      <w:lvlText w:val="%1.%2.%3.%4"/>
      <w:lvlJc w:val="left"/>
      <w:pPr>
        <w:ind w:left="794" w:hanging="794"/>
      </w:pPr>
      <w:rPr>
        <w:rFonts w:hint="eastAsia"/>
      </w:rPr>
    </w:lvl>
    <w:lvl w:ilvl="4" w:tentative="0">
      <w:start w:val="1"/>
      <w:numFmt w:val="decimal"/>
      <w:pStyle w:val="44"/>
      <w:suff w:val="space"/>
      <w:lvlText w:val="%1.%2.%3.%4.%5"/>
      <w:lvlJc w:val="left"/>
      <w:pPr>
        <w:ind w:left="1021" w:hanging="1021"/>
      </w:pPr>
      <w:rPr>
        <w:rFonts w:hint="eastAsia"/>
      </w:rPr>
    </w:lvl>
    <w:lvl w:ilvl="5" w:tentative="0">
      <w:start w:val="1"/>
      <w:numFmt w:val="decimal"/>
      <w:pStyle w:val="45"/>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E1B1D2A"/>
    <w:multiLevelType w:val="multilevel"/>
    <w:tmpl w:val="7E1B1D2A"/>
    <w:lvl w:ilvl="0" w:tentative="0">
      <w:start w:val="1"/>
      <w:numFmt w:val="decimal"/>
      <w:pStyle w:val="40"/>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zllOGFjZWRiNmUxNmUyNDljNzkxZjczZTFlMTAifQ=="/>
  </w:docVars>
  <w:rsids>
    <w:rsidRoot w:val="00172A27"/>
    <w:rsid w:val="00001A36"/>
    <w:rsid w:val="00011D65"/>
    <w:rsid w:val="00011E30"/>
    <w:rsid w:val="000224FE"/>
    <w:rsid w:val="00024803"/>
    <w:rsid w:val="00024FA2"/>
    <w:rsid w:val="00025E0C"/>
    <w:rsid w:val="0002761E"/>
    <w:rsid w:val="000348BA"/>
    <w:rsid w:val="000369E1"/>
    <w:rsid w:val="00036CDC"/>
    <w:rsid w:val="0003799B"/>
    <w:rsid w:val="00047F36"/>
    <w:rsid w:val="00055BE3"/>
    <w:rsid w:val="0006004E"/>
    <w:rsid w:val="0006022E"/>
    <w:rsid w:val="000666E4"/>
    <w:rsid w:val="000739FE"/>
    <w:rsid w:val="00074778"/>
    <w:rsid w:val="00081814"/>
    <w:rsid w:val="000825DB"/>
    <w:rsid w:val="00083139"/>
    <w:rsid w:val="00084444"/>
    <w:rsid w:val="000954BC"/>
    <w:rsid w:val="00096252"/>
    <w:rsid w:val="000A1C35"/>
    <w:rsid w:val="000B049B"/>
    <w:rsid w:val="000B12F7"/>
    <w:rsid w:val="000B65EC"/>
    <w:rsid w:val="000C5B47"/>
    <w:rsid w:val="000D078C"/>
    <w:rsid w:val="000D4CEA"/>
    <w:rsid w:val="000E103E"/>
    <w:rsid w:val="000E7594"/>
    <w:rsid w:val="000E7EE4"/>
    <w:rsid w:val="000F1EB8"/>
    <w:rsid w:val="000F79B4"/>
    <w:rsid w:val="00121558"/>
    <w:rsid w:val="00123DCF"/>
    <w:rsid w:val="00130058"/>
    <w:rsid w:val="001304CE"/>
    <w:rsid w:val="00131F63"/>
    <w:rsid w:val="001321D3"/>
    <w:rsid w:val="001367E6"/>
    <w:rsid w:val="0013763A"/>
    <w:rsid w:val="001438D5"/>
    <w:rsid w:val="0015418C"/>
    <w:rsid w:val="001546E3"/>
    <w:rsid w:val="00156CE7"/>
    <w:rsid w:val="001634F8"/>
    <w:rsid w:val="00172A27"/>
    <w:rsid w:val="00175535"/>
    <w:rsid w:val="00196688"/>
    <w:rsid w:val="001A6A60"/>
    <w:rsid w:val="001B0D81"/>
    <w:rsid w:val="001B43F0"/>
    <w:rsid w:val="001C4ACD"/>
    <w:rsid w:val="001D364E"/>
    <w:rsid w:val="001E2A08"/>
    <w:rsid w:val="001E4B7A"/>
    <w:rsid w:val="001E7354"/>
    <w:rsid w:val="001F4ADC"/>
    <w:rsid w:val="002032A8"/>
    <w:rsid w:val="00203F6A"/>
    <w:rsid w:val="00212735"/>
    <w:rsid w:val="00212AC6"/>
    <w:rsid w:val="00217B81"/>
    <w:rsid w:val="00226D1D"/>
    <w:rsid w:val="00227C89"/>
    <w:rsid w:val="00246E06"/>
    <w:rsid w:val="002520E6"/>
    <w:rsid w:val="002543ED"/>
    <w:rsid w:val="002550F8"/>
    <w:rsid w:val="00261703"/>
    <w:rsid w:val="00265F21"/>
    <w:rsid w:val="002701C5"/>
    <w:rsid w:val="002709E9"/>
    <w:rsid w:val="0028673C"/>
    <w:rsid w:val="002938D1"/>
    <w:rsid w:val="00293CED"/>
    <w:rsid w:val="002A1060"/>
    <w:rsid w:val="002B18D0"/>
    <w:rsid w:val="002B1BF7"/>
    <w:rsid w:val="002B2425"/>
    <w:rsid w:val="002B5C75"/>
    <w:rsid w:val="002B6D92"/>
    <w:rsid w:val="002C0D52"/>
    <w:rsid w:val="002D3143"/>
    <w:rsid w:val="002D50E0"/>
    <w:rsid w:val="002E2A8D"/>
    <w:rsid w:val="002E37D7"/>
    <w:rsid w:val="002F1904"/>
    <w:rsid w:val="002F1EBF"/>
    <w:rsid w:val="002F244E"/>
    <w:rsid w:val="002F2A39"/>
    <w:rsid w:val="002F73B7"/>
    <w:rsid w:val="003017B8"/>
    <w:rsid w:val="00301A41"/>
    <w:rsid w:val="003170E3"/>
    <w:rsid w:val="003217E4"/>
    <w:rsid w:val="00322944"/>
    <w:rsid w:val="003350C8"/>
    <w:rsid w:val="00336953"/>
    <w:rsid w:val="0034174F"/>
    <w:rsid w:val="00347E59"/>
    <w:rsid w:val="0035009E"/>
    <w:rsid w:val="00352670"/>
    <w:rsid w:val="0035379B"/>
    <w:rsid w:val="003545C4"/>
    <w:rsid w:val="00355F58"/>
    <w:rsid w:val="00370D1C"/>
    <w:rsid w:val="0037163C"/>
    <w:rsid w:val="00373861"/>
    <w:rsid w:val="00380B72"/>
    <w:rsid w:val="00386B5A"/>
    <w:rsid w:val="00392524"/>
    <w:rsid w:val="0039364C"/>
    <w:rsid w:val="00394EF9"/>
    <w:rsid w:val="00397112"/>
    <w:rsid w:val="00397200"/>
    <w:rsid w:val="003A244C"/>
    <w:rsid w:val="003A7C09"/>
    <w:rsid w:val="003B436D"/>
    <w:rsid w:val="003B7836"/>
    <w:rsid w:val="003C24AD"/>
    <w:rsid w:val="003C48C2"/>
    <w:rsid w:val="003C5071"/>
    <w:rsid w:val="003D15A3"/>
    <w:rsid w:val="003D39AE"/>
    <w:rsid w:val="003D4200"/>
    <w:rsid w:val="003D7D84"/>
    <w:rsid w:val="003E15D9"/>
    <w:rsid w:val="003E460E"/>
    <w:rsid w:val="003E7218"/>
    <w:rsid w:val="00411D8B"/>
    <w:rsid w:val="00415C27"/>
    <w:rsid w:val="004169FD"/>
    <w:rsid w:val="0042283D"/>
    <w:rsid w:val="004231C4"/>
    <w:rsid w:val="00427BFA"/>
    <w:rsid w:val="004332EF"/>
    <w:rsid w:val="004405BC"/>
    <w:rsid w:val="004422DD"/>
    <w:rsid w:val="00442E16"/>
    <w:rsid w:val="00444430"/>
    <w:rsid w:val="00445B1D"/>
    <w:rsid w:val="00445B84"/>
    <w:rsid w:val="00450537"/>
    <w:rsid w:val="00457E70"/>
    <w:rsid w:val="0046347F"/>
    <w:rsid w:val="0046369D"/>
    <w:rsid w:val="00464A4B"/>
    <w:rsid w:val="00467018"/>
    <w:rsid w:val="00475C49"/>
    <w:rsid w:val="00477FEC"/>
    <w:rsid w:val="00482F15"/>
    <w:rsid w:val="004864F2"/>
    <w:rsid w:val="00487E77"/>
    <w:rsid w:val="004925AF"/>
    <w:rsid w:val="00493D46"/>
    <w:rsid w:val="004960C1"/>
    <w:rsid w:val="004976C7"/>
    <w:rsid w:val="004B6EF6"/>
    <w:rsid w:val="004C2C74"/>
    <w:rsid w:val="004C3A62"/>
    <w:rsid w:val="004E344E"/>
    <w:rsid w:val="004E4E80"/>
    <w:rsid w:val="004E53DD"/>
    <w:rsid w:val="004F55AB"/>
    <w:rsid w:val="004F64A1"/>
    <w:rsid w:val="004F7FE0"/>
    <w:rsid w:val="00501D92"/>
    <w:rsid w:val="00504A7A"/>
    <w:rsid w:val="005066A6"/>
    <w:rsid w:val="00511DB9"/>
    <w:rsid w:val="00513688"/>
    <w:rsid w:val="00513763"/>
    <w:rsid w:val="00524F71"/>
    <w:rsid w:val="00527A49"/>
    <w:rsid w:val="0053595B"/>
    <w:rsid w:val="00540DE6"/>
    <w:rsid w:val="00542A91"/>
    <w:rsid w:val="0054387B"/>
    <w:rsid w:val="005465B6"/>
    <w:rsid w:val="00560EAF"/>
    <w:rsid w:val="00572059"/>
    <w:rsid w:val="00573E83"/>
    <w:rsid w:val="005775FA"/>
    <w:rsid w:val="00583550"/>
    <w:rsid w:val="00591622"/>
    <w:rsid w:val="005947ED"/>
    <w:rsid w:val="005B6C71"/>
    <w:rsid w:val="005C208D"/>
    <w:rsid w:val="005D0C97"/>
    <w:rsid w:val="005D22EB"/>
    <w:rsid w:val="005E1666"/>
    <w:rsid w:val="005E31BD"/>
    <w:rsid w:val="005E3ECA"/>
    <w:rsid w:val="005E4AD5"/>
    <w:rsid w:val="005F4FA6"/>
    <w:rsid w:val="005F71F6"/>
    <w:rsid w:val="00600E89"/>
    <w:rsid w:val="00603FEA"/>
    <w:rsid w:val="00604956"/>
    <w:rsid w:val="006108E0"/>
    <w:rsid w:val="00612615"/>
    <w:rsid w:val="00612ABC"/>
    <w:rsid w:val="00617DCD"/>
    <w:rsid w:val="00620EA2"/>
    <w:rsid w:val="00632039"/>
    <w:rsid w:val="0063482E"/>
    <w:rsid w:val="00643676"/>
    <w:rsid w:val="006436D6"/>
    <w:rsid w:val="006458E3"/>
    <w:rsid w:val="006464AD"/>
    <w:rsid w:val="00647545"/>
    <w:rsid w:val="00660553"/>
    <w:rsid w:val="00663DE1"/>
    <w:rsid w:val="00664C86"/>
    <w:rsid w:val="00665902"/>
    <w:rsid w:val="006664D5"/>
    <w:rsid w:val="0067267E"/>
    <w:rsid w:val="00675178"/>
    <w:rsid w:val="006771FF"/>
    <w:rsid w:val="00682943"/>
    <w:rsid w:val="00683D3B"/>
    <w:rsid w:val="00697DB7"/>
    <w:rsid w:val="006B0B91"/>
    <w:rsid w:val="006B554E"/>
    <w:rsid w:val="006B7F33"/>
    <w:rsid w:val="006C21A8"/>
    <w:rsid w:val="006C49D3"/>
    <w:rsid w:val="006C742E"/>
    <w:rsid w:val="006D78DE"/>
    <w:rsid w:val="006E2B12"/>
    <w:rsid w:val="006E3BE7"/>
    <w:rsid w:val="006E5986"/>
    <w:rsid w:val="006E5F79"/>
    <w:rsid w:val="006F01F5"/>
    <w:rsid w:val="006F05AC"/>
    <w:rsid w:val="006F177C"/>
    <w:rsid w:val="006F1E99"/>
    <w:rsid w:val="006F26FB"/>
    <w:rsid w:val="006F2A9A"/>
    <w:rsid w:val="006F33DF"/>
    <w:rsid w:val="007066EC"/>
    <w:rsid w:val="00710F9C"/>
    <w:rsid w:val="00714D1B"/>
    <w:rsid w:val="00717029"/>
    <w:rsid w:val="00720312"/>
    <w:rsid w:val="0072202C"/>
    <w:rsid w:val="0072288E"/>
    <w:rsid w:val="00730BF8"/>
    <w:rsid w:val="007313AE"/>
    <w:rsid w:val="00740012"/>
    <w:rsid w:val="00741F34"/>
    <w:rsid w:val="00745B3A"/>
    <w:rsid w:val="00752D2E"/>
    <w:rsid w:val="00762F4A"/>
    <w:rsid w:val="007633CA"/>
    <w:rsid w:val="007663F0"/>
    <w:rsid w:val="00777511"/>
    <w:rsid w:val="00782BD3"/>
    <w:rsid w:val="00783A2D"/>
    <w:rsid w:val="0078701B"/>
    <w:rsid w:val="0079003D"/>
    <w:rsid w:val="00790F54"/>
    <w:rsid w:val="007957D3"/>
    <w:rsid w:val="00795BF9"/>
    <w:rsid w:val="007A41FE"/>
    <w:rsid w:val="007A6008"/>
    <w:rsid w:val="007A6D6E"/>
    <w:rsid w:val="007C00B5"/>
    <w:rsid w:val="007C271F"/>
    <w:rsid w:val="007D4695"/>
    <w:rsid w:val="007D5F69"/>
    <w:rsid w:val="007D6E79"/>
    <w:rsid w:val="007E24A8"/>
    <w:rsid w:val="007E6BBB"/>
    <w:rsid w:val="007F261A"/>
    <w:rsid w:val="007F4389"/>
    <w:rsid w:val="00805841"/>
    <w:rsid w:val="008067E9"/>
    <w:rsid w:val="008207FC"/>
    <w:rsid w:val="00824A1A"/>
    <w:rsid w:val="0082723D"/>
    <w:rsid w:val="00830FB1"/>
    <w:rsid w:val="00840509"/>
    <w:rsid w:val="0084484A"/>
    <w:rsid w:val="00845EAD"/>
    <w:rsid w:val="008518FE"/>
    <w:rsid w:val="008631C4"/>
    <w:rsid w:val="00863246"/>
    <w:rsid w:val="008647E2"/>
    <w:rsid w:val="00867C1C"/>
    <w:rsid w:val="0087458E"/>
    <w:rsid w:val="00877005"/>
    <w:rsid w:val="0088245D"/>
    <w:rsid w:val="008A1EE5"/>
    <w:rsid w:val="008B10B5"/>
    <w:rsid w:val="008B3EC8"/>
    <w:rsid w:val="008B7CE7"/>
    <w:rsid w:val="008C42A4"/>
    <w:rsid w:val="008C53F1"/>
    <w:rsid w:val="008C5FF0"/>
    <w:rsid w:val="008D2226"/>
    <w:rsid w:val="008D782D"/>
    <w:rsid w:val="008E4405"/>
    <w:rsid w:val="008E4839"/>
    <w:rsid w:val="008E5D81"/>
    <w:rsid w:val="008F39A1"/>
    <w:rsid w:val="008F3CF5"/>
    <w:rsid w:val="0090419E"/>
    <w:rsid w:val="009053AC"/>
    <w:rsid w:val="00910979"/>
    <w:rsid w:val="00916263"/>
    <w:rsid w:val="00916B1E"/>
    <w:rsid w:val="00916CF7"/>
    <w:rsid w:val="00916F72"/>
    <w:rsid w:val="0093136C"/>
    <w:rsid w:val="00957FBC"/>
    <w:rsid w:val="0096360D"/>
    <w:rsid w:val="009647CE"/>
    <w:rsid w:val="009661C0"/>
    <w:rsid w:val="009713B5"/>
    <w:rsid w:val="0097695A"/>
    <w:rsid w:val="00982515"/>
    <w:rsid w:val="00987DA5"/>
    <w:rsid w:val="00990136"/>
    <w:rsid w:val="00997623"/>
    <w:rsid w:val="009A10CD"/>
    <w:rsid w:val="009B2215"/>
    <w:rsid w:val="009B3F2A"/>
    <w:rsid w:val="009B493D"/>
    <w:rsid w:val="009B6017"/>
    <w:rsid w:val="009B7B34"/>
    <w:rsid w:val="009C760C"/>
    <w:rsid w:val="009D1E87"/>
    <w:rsid w:val="009D22C9"/>
    <w:rsid w:val="009D59B1"/>
    <w:rsid w:val="009E7949"/>
    <w:rsid w:val="009F2CE7"/>
    <w:rsid w:val="009F6300"/>
    <w:rsid w:val="00A03DAA"/>
    <w:rsid w:val="00A053A7"/>
    <w:rsid w:val="00A07072"/>
    <w:rsid w:val="00A1398C"/>
    <w:rsid w:val="00A16209"/>
    <w:rsid w:val="00A179D8"/>
    <w:rsid w:val="00A17F78"/>
    <w:rsid w:val="00A226D6"/>
    <w:rsid w:val="00A326C7"/>
    <w:rsid w:val="00A36F6E"/>
    <w:rsid w:val="00A43B1A"/>
    <w:rsid w:val="00A46A7B"/>
    <w:rsid w:val="00A52E27"/>
    <w:rsid w:val="00A754BF"/>
    <w:rsid w:val="00A80900"/>
    <w:rsid w:val="00A94073"/>
    <w:rsid w:val="00A95724"/>
    <w:rsid w:val="00AA0964"/>
    <w:rsid w:val="00AA0D73"/>
    <w:rsid w:val="00AB7F1E"/>
    <w:rsid w:val="00AD0E90"/>
    <w:rsid w:val="00AD267E"/>
    <w:rsid w:val="00AD36C6"/>
    <w:rsid w:val="00AF5C38"/>
    <w:rsid w:val="00B01D6A"/>
    <w:rsid w:val="00B0308C"/>
    <w:rsid w:val="00B077C5"/>
    <w:rsid w:val="00B10E20"/>
    <w:rsid w:val="00B13755"/>
    <w:rsid w:val="00B14EDA"/>
    <w:rsid w:val="00B15EA7"/>
    <w:rsid w:val="00B218BF"/>
    <w:rsid w:val="00B27FD9"/>
    <w:rsid w:val="00B30A58"/>
    <w:rsid w:val="00B33E1B"/>
    <w:rsid w:val="00B40969"/>
    <w:rsid w:val="00B40CA3"/>
    <w:rsid w:val="00B51B53"/>
    <w:rsid w:val="00B719FD"/>
    <w:rsid w:val="00B73D60"/>
    <w:rsid w:val="00B7675B"/>
    <w:rsid w:val="00B80918"/>
    <w:rsid w:val="00B81709"/>
    <w:rsid w:val="00B92C17"/>
    <w:rsid w:val="00B94D4D"/>
    <w:rsid w:val="00B9576A"/>
    <w:rsid w:val="00B9605D"/>
    <w:rsid w:val="00B96F7F"/>
    <w:rsid w:val="00BA2A07"/>
    <w:rsid w:val="00BA2FE9"/>
    <w:rsid w:val="00BB3836"/>
    <w:rsid w:val="00BC6F6D"/>
    <w:rsid w:val="00BC7BE2"/>
    <w:rsid w:val="00BD01DA"/>
    <w:rsid w:val="00BD1DC0"/>
    <w:rsid w:val="00BE2BF0"/>
    <w:rsid w:val="00BE6F0A"/>
    <w:rsid w:val="00BF5021"/>
    <w:rsid w:val="00C00573"/>
    <w:rsid w:val="00C01D6D"/>
    <w:rsid w:val="00C0394B"/>
    <w:rsid w:val="00C101D8"/>
    <w:rsid w:val="00C12225"/>
    <w:rsid w:val="00C16678"/>
    <w:rsid w:val="00C21599"/>
    <w:rsid w:val="00C244B2"/>
    <w:rsid w:val="00C41372"/>
    <w:rsid w:val="00C43323"/>
    <w:rsid w:val="00C6082A"/>
    <w:rsid w:val="00C61509"/>
    <w:rsid w:val="00C62C53"/>
    <w:rsid w:val="00C71A97"/>
    <w:rsid w:val="00C736F6"/>
    <w:rsid w:val="00C81FCB"/>
    <w:rsid w:val="00C829CC"/>
    <w:rsid w:val="00C91212"/>
    <w:rsid w:val="00C96435"/>
    <w:rsid w:val="00CA25E8"/>
    <w:rsid w:val="00CA2731"/>
    <w:rsid w:val="00CA4BB0"/>
    <w:rsid w:val="00CA7053"/>
    <w:rsid w:val="00CB34BB"/>
    <w:rsid w:val="00CB4172"/>
    <w:rsid w:val="00CC2A43"/>
    <w:rsid w:val="00CC36AC"/>
    <w:rsid w:val="00CC7CB2"/>
    <w:rsid w:val="00CD0859"/>
    <w:rsid w:val="00CE36B7"/>
    <w:rsid w:val="00CE41F5"/>
    <w:rsid w:val="00CE4391"/>
    <w:rsid w:val="00CF0D9C"/>
    <w:rsid w:val="00CF4250"/>
    <w:rsid w:val="00CF5AE8"/>
    <w:rsid w:val="00CF67B5"/>
    <w:rsid w:val="00D02236"/>
    <w:rsid w:val="00D1017D"/>
    <w:rsid w:val="00D11282"/>
    <w:rsid w:val="00D11D55"/>
    <w:rsid w:val="00D14569"/>
    <w:rsid w:val="00D15B0F"/>
    <w:rsid w:val="00D2447B"/>
    <w:rsid w:val="00D25096"/>
    <w:rsid w:val="00D2614B"/>
    <w:rsid w:val="00D3035E"/>
    <w:rsid w:val="00D30B4B"/>
    <w:rsid w:val="00D30FCA"/>
    <w:rsid w:val="00D322AE"/>
    <w:rsid w:val="00D35780"/>
    <w:rsid w:val="00D3643E"/>
    <w:rsid w:val="00D40841"/>
    <w:rsid w:val="00D411DB"/>
    <w:rsid w:val="00D57ABE"/>
    <w:rsid w:val="00D60D0A"/>
    <w:rsid w:val="00D664DF"/>
    <w:rsid w:val="00D72C48"/>
    <w:rsid w:val="00D73894"/>
    <w:rsid w:val="00D7572D"/>
    <w:rsid w:val="00D90E8B"/>
    <w:rsid w:val="00D964B6"/>
    <w:rsid w:val="00DA2107"/>
    <w:rsid w:val="00DA4F8D"/>
    <w:rsid w:val="00DA567B"/>
    <w:rsid w:val="00DA700A"/>
    <w:rsid w:val="00DB10DE"/>
    <w:rsid w:val="00DC0BCD"/>
    <w:rsid w:val="00DC390E"/>
    <w:rsid w:val="00DC63EA"/>
    <w:rsid w:val="00DD0776"/>
    <w:rsid w:val="00DD2D10"/>
    <w:rsid w:val="00DD493A"/>
    <w:rsid w:val="00DE56CE"/>
    <w:rsid w:val="00DF522A"/>
    <w:rsid w:val="00DF64FE"/>
    <w:rsid w:val="00DF70DD"/>
    <w:rsid w:val="00E00A63"/>
    <w:rsid w:val="00E05CBD"/>
    <w:rsid w:val="00E133C1"/>
    <w:rsid w:val="00E13A22"/>
    <w:rsid w:val="00E22023"/>
    <w:rsid w:val="00E24F6C"/>
    <w:rsid w:val="00E24FB5"/>
    <w:rsid w:val="00E25FBD"/>
    <w:rsid w:val="00E27C54"/>
    <w:rsid w:val="00E33DFC"/>
    <w:rsid w:val="00E36DC0"/>
    <w:rsid w:val="00E37E6E"/>
    <w:rsid w:val="00E4022A"/>
    <w:rsid w:val="00E40C11"/>
    <w:rsid w:val="00E51CAC"/>
    <w:rsid w:val="00E5314E"/>
    <w:rsid w:val="00E538A2"/>
    <w:rsid w:val="00E573CE"/>
    <w:rsid w:val="00E67113"/>
    <w:rsid w:val="00E757CD"/>
    <w:rsid w:val="00E76293"/>
    <w:rsid w:val="00E773EF"/>
    <w:rsid w:val="00E841D0"/>
    <w:rsid w:val="00E84CB6"/>
    <w:rsid w:val="00E8759A"/>
    <w:rsid w:val="00E9363B"/>
    <w:rsid w:val="00E966EE"/>
    <w:rsid w:val="00EA4ECB"/>
    <w:rsid w:val="00EA78F0"/>
    <w:rsid w:val="00EB0365"/>
    <w:rsid w:val="00EB1D83"/>
    <w:rsid w:val="00EB210F"/>
    <w:rsid w:val="00EB3AB1"/>
    <w:rsid w:val="00EC2261"/>
    <w:rsid w:val="00ED2B43"/>
    <w:rsid w:val="00EE26EB"/>
    <w:rsid w:val="00EE2B73"/>
    <w:rsid w:val="00EF0F0F"/>
    <w:rsid w:val="00F01F55"/>
    <w:rsid w:val="00F22992"/>
    <w:rsid w:val="00F22C55"/>
    <w:rsid w:val="00F270CF"/>
    <w:rsid w:val="00F301E8"/>
    <w:rsid w:val="00F34D29"/>
    <w:rsid w:val="00F35C2C"/>
    <w:rsid w:val="00F44F0C"/>
    <w:rsid w:val="00F45974"/>
    <w:rsid w:val="00F47C25"/>
    <w:rsid w:val="00F51B8A"/>
    <w:rsid w:val="00F66D00"/>
    <w:rsid w:val="00F733D2"/>
    <w:rsid w:val="00F87CF1"/>
    <w:rsid w:val="00F906DF"/>
    <w:rsid w:val="00F941F7"/>
    <w:rsid w:val="00F9693E"/>
    <w:rsid w:val="00F973AF"/>
    <w:rsid w:val="00FA6695"/>
    <w:rsid w:val="00FA794C"/>
    <w:rsid w:val="00FB1C77"/>
    <w:rsid w:val="00FB3F6A"/>
    <w:rsid w:val="00FE17EF"/>
    <w:rsid w:val="00FE1CEA"/>
    <w:rsid w:val="00FE3C8E"/>
    <w:rsid w:val="00FE3E86"/>
    <w:rsid w:val="00FE51F2"/>
    <w:rsid w:val="00FE52AD"/>
    <w:rsid w:val="00FE5547"/>
    <w:rsid w:val="00FF15E9"/>
    <w:rsid w:val="07665853"/>
    <w:rsid w:val="097F5A20"/>
    <w:rsid w:val="09AF3FF1"/>
    <w:rsid w:val="0AF636E1"/>
    <w:rsid w:val="13A74B4C"/>
    <w:rsid w:val="19726AE9"/>
    <w:rsid w:val="1F087679"/>
    <w:rsid w:val="20695B39"/>
    <w:rsid w:val="246A5F14"/>
    <w:rsid w:val="31F36A80"/>
    <w:rsid w:val="3C790143"/>
    <w:rsid w:val="407F126C"/>
    <w:rsid w:val="4EA9509B"/>
    <w:rsid w:val="4FE55F65"/>
    <w:rsid w:val="67996803"/>
    <w:rsid w:val="6BC568DE"/>
    <w:rsid w:val="6BC6435F"/>
    <w:rsid w:val="6C887B9D"/>
    <w:rsid w:val="6D955854"/>
    <w:rsid w:val="78BE1FA4"/>
    <w:rsid w:val="7B147EF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7"/>
    <w:unhideWhenUsed/>
    <w:qFormat/>
    <w:uiPriority w:val="9"/>
    <w:pPr>
      <w:keepNext/>
      <w:keepLines/>
      <w:spacing w:before="260" w:after="260" w:line="416" w:lineRule="auto"/>
      <w:outlineLvl w:val="1"/>
    </w:pPr>
    <w:rPr>
      <w:rFonts w:ascii="Cambria" w:hAnsi="Cambria"/>
      <w:b/>
      <w:bCs/>
      <w:kern w:val="0"/>
      <w:sz w:val="32"/>
      <w:szCs w:val="32"/>
      <w:lang w:val="zh-CN" w:eastAsia="zh-CN"/>
    </w:rPr>
  </w:style>
  <w:style w:type="paragraph" w:styleId="4">
    <w:name w:val="heading 3"/>
    <w:basedOn w:val="1"/>
    <w:next w:val="1"/>
    <w:link w:val="23"/>
    <w:unhideWhenUsed/>
    <w:qFormat/>
    <w:uiPriority w:val="9"/>
    <w:pPr>
      <w:keepNext/>
      <w:keepLines/>
      <w:spacing w:before="260" w:after="260" w:line="416" w:lineRule="auto"/>
      <w:outlineLvl w:val="2"/>
    </w:pPr>
    <w:rPr>
      <w:b/>
      <w:bCs/>
      <w:kern w:val="0"/>
      <w:sz w:val="32"/>
      <w:szCs w:val="32"/>
      <w:lang w:val="zh-CN" w:eastAsia="zh-CN"/>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Cambria" w:hAnsi="Cambria"/>
      <w:b/>
      <w:bCs/>
      <w:kern w:val="0"/>
      <w:sz w:val="28"/>
      <w:szCs w:val="28"/>
      <w:lang w:val="zh-CN" w:eastAsia="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48"/>
    <w:qFormat/>
    <w:uiPriority w:val="0"/>
    <w:rPr>
      <w:rFonts w:ascii="宋体"/>
      <w:sz w:val="32"/>
      <w:lang w:val="zh-CN" w:eastAsia="zh-CN"/>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47"/>
    <w:qFormat/>
    <w:uiPriority w:val="0"/>
    <w:pPr>
      <w:snapToGrid w:val="0"/>
      <w:jc w:val="left"/>
    </w:pPr>
    <w:rPr>
      <w:sz w:val="18"/>
      <w:szCs w:val="18"/>
      <w:lang w:val="zh-CN" w:eastAsia="zh-CN"/>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8"/>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3 Char"/>
    <w:link w:val="4"/>
    <w:qFormat/>
    <w:uiPriority w:val="9"/>
    <w:rPr>
      <w:b/>
      <w:bCs/>
      <w:sz w:val="32"/>
      <w:szCs w:val="32"/>
    </w:rPr>
  </w:style>
  <w:style w:type="character" w:customStyle="1" w:styleId="24">
    <w:name w:val="CODE"/>
    <w:qFormat/>
    <w:uiPriority w:val="0"/>
    <w:rPr>
      <w:rFonts w:ascii="Courier New" w:hAnsi="Courier New"/>
      <w:spacing w:val="-10"/>
      <w:sz w:val="20"/>
      <w:lang w:val="en-GB" w:eastAsia="zh-CN"/>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标题 1 Char"/>
    <w:link w:val="2"/>
    <w:qFormat/>
    <w:uiPriority w:val="9"/>
    <w:rPr>
      <w:b/>
      <w:bCs/>
      <w:kern w:val="44"/>
      <w:sz w:val="44"/>
      <w:szCs w:val="44"/>
    </w:rPr>
  </w:style>
  <w:style w:type="character" w:customStyle="1" w:styleId="27">
    <w:name w:val="标题 2 Char"/>
    <w:link w:val="3"/>
    <w:qFormat/>
    <w:uiPriority w:val="9"/>
    <w:rPr>
      <w:rFonts w:ascii="Cambria" w:hAnsi="Cambria" w:eastAsia="宋体" w:cs="Times New Roman"/>
      <w:b/>
      <w:bCs/>
      <w:sz w:val="32"/>
      <w:szCs w:val="32"/>
    </w:rPr>
  </w:style>
  <w:style w:type="character" w:customStyle="1" w:styleId="28">
    <w:name w:val="标题 Char"/>
    <w:link w:val="15"/>
    <w:qFormat/>
    <w:uiPriority w:val="10"/>
    <w:rPr>
      <w:rFonts w:ascii="Cambria" w:hAnsi="Cambria" w:cs="Times New Roman"/>
      <w:b/>
      <w:bCs/>
      <w:sz w:val="32"/>
      <w:szCs w:val="32"/>
    </w:rPr>
  </w:style>
  <w:style w:type="paragraph" w:customStyle="1" w:styleId="2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31">
    <w:name w:val="次标题"/>
    <w:basedOn w:val="4"/>
    <w:next w:val="1"/>
    <w:qFormat/>
    <w:uiPriority w:val="0"/>
    <w:pPr>
      <w:jc w:val="left"/>
    </w:pPr>
    <w:rPr>
      <w:rFonts w:ascii="宋体" w:hAnsi="宋体"/>
      <w:sz w:val="24"/>
      <w:szCs w:val="24"/>
    </w:rPr>
  </w:style>
  <w:style w:type="paragraph" w:customStyle="1" w:styleId="32">
    <w:name w:val="Char"/>
    <w:basedOn w:val="1"/>
    <w:qFormat/>
    <w:uiPriority w:val="0"/>
  </w:style>
  <w:style w:type="character" w:customStyle="1" w:styleId="33">
    <w:name w:val="标题 4 Char"/>
    <w:link w:val="5"/>
    <w:semiHidden/>
    <w:qFormat/>
    <w:uiPriority w:val="0"/>
    <w:rPr>
      <w:rFonts w:ascii="Cambria" w:hAnsi="Cambria" w:eastAsia="宋体" w:cs="Times New Roman"/>
      <w:b/>
      <w:bCs/>
      <w:sz w:val="28"/>
      <w:szCs w:val="28"/>
    </w:rPr>
  </w:style>
  <w:style w:type="paragraph" w:customStyle="1" w:styleId="34">
    <w:name w:val="XBRL标题1"/>
    <w:basedOn w:val="2"/>
    <w:next w:val="3"/>
    <w:qFormat/>
    <w:uiPriority w:val="0"/>
    <w:pPr>
      <w:spacing w:beforeLines="50" w:afterLines="50" w:line="240" w:lineRule="auto"/>
      <w:jc w:val="center"/>
    </w:pPr>
    <w:rPr>
      <w:rFonts w:ascii="Cambria" w:hAnsi="Cambria"/>
      <w:sz w:val="28"/>
    </w:rPr>
  </w:style>
  <w:style w:type="paragraph" w:customStyle="1" w:styleId="35">
    <w:name w:val="XBRL标题2"/>
    <w:basedOn w:val="12"/>
    <w:next w:val="5"/>
    <w:qFormat/>
    <w:uiPriority w:val="0"/>
    <w:pPr>
      <w:spacing w:beforeLines="50" w:afterLines="50" w:line="240" w:lineRule="auto"/>
    </w:pPr>
    <w:rPr>
      <w:bCs/>
    </w:rPr>
  </w:style>
  <w:style w:type="paragraph" w:customStyle="1" w:styleId="36">
    <w:name w:val="XBRL标题3"/>
    <w:basedOn w:val="12"/>
    <w:next w:val="5"/>
    <w:qFormat/>
    <w:uiPriority w:val="0"/>
    <w:pPr>
      <w:spacing w:beforeLines="50" w:afterLines="50" w:line="240" w:lineRule="auto"/>
      <w:outlineLvl w:val="9"/>
    </w:pPr>
    <w:rPr>
      <w:bCs/>
    </w:rPr>
  </w:style>
  <w:style w:type="paragraph" w:customStyle="1" w:styleId="37">
    <w:name w:val="XBRL标题4"/>
    <w:basedOn w:val="12"/>
    <w:next w:val="5"/>
    <w:qFormat/>
    <w:uiPriority w:val="0"/>
    <w:pPr>
      <w:spacing w:beforeLines="50" w:afterLines="50" w:line="240" w:lineRule="auto"/>
      <w:outlineLvl w:val="9"/>
    </w:pPr>
    <w:rPr>
      <w:bCs/>
    </w:rPr>
  </w:style>
  <w:style w:type="paragraph" w:customStyle="1" w:styleId="38">
    <w:name w:val="XBRL标题5"/>
    <w:basedOn w:val="12"/>
    <w:next w:val="5"/>
    <w:qFormat/>
    <w:uiPriority w:val="0"/>
    <w:pPr>
      <w:spacing w:beforeLines="50" w:afterLines="50" w:line="240" w:lineRule="auto"/>
      <w:outlineLvl w:val="9"/>
    </w:pPr>
    <w:rPr>
      <w:bCs/>
    </w:rPr>
  </w:style>
  <w:style w:type="paragraph" w:customStyle="1" w:styleId="39">
    <w:name w:val="XBRL标题6"/>
    <w:basedOn w:val="12"/>
    <w:next w:val="5"/>
    <w:qFormat/>
    <w:uiPriority w:val="0"/>
    <w:pPr>
      <w:spacing w:beforeLines="50" w:afterLines="50" w:line="240" w:lineRule="auto"/>
      <w:outlineLvl w:val="9"/>
    </w:pPr>
    <w:rPr>
      <w:bCs/>
    </w:rPr>
  </w:style>
  <w:style w:type="paragraph" w:customStyle="1" w:styleId="40">
    <w:name w:val="XBRLTitle1"/>
    <w:basedOn w:val="2"/>
    <w:next w:val="3"/>
    <w:qFormat/>
    <w:uiPriority w:val="0"/>
    <w:pPr>
      <w:numPr>
        <w:ilvl w:val="0"/>
        <w:numId w:val="1"/>
      </w:numPr>
      <w:spacing w:before="156" w:beforeLines="50" w:after="156" w:afterLines="50" w:line="240" w:lineRule="auto"/>
      <w:jc w:val="left"/>
    </w:pPr>
    <w:rPr>
      <w:rFonts w:ascii="Cambria" w:hAnsi="Cambria"/>
      <w:sz w:val="28"/>
    </w:rPr>
  </w:style>
  <w:style w:type="paragraph" w:customStyle="1" w:styleId="41">
    <w:name w:val="XBRLTitle2"/>
    <w:basedOn w:val="12"/>
    <w:next w:val="5"/>
    <w:qFormat/>
    <w:uiPriority w:val="0"/>
    <w:pPr>
      <w:numPr>
        <w:ilvl w:val="1"/>
        <w:numId w:val="2"/>
      </w:numPr>
      <w:spacing w:beforeLines="50" w:afterLines="50" w:line="240" w:lineRule="auto"/>
    </w:pPr>
    <w:rPr>
      <w:bCs/>
    </w:rPr>
  </w:style>
  <w:style w:type="paragraph" w:customStyle="1" w:styleId="42">
    <w:name w:val="XBRLTitle3"/>
    <w:basedOn w:val="12"/>
    <w:next w:val="5"/>
    <w:qFormat/>
    <w:uiPriority w:val="0"/>
    <w:pPr>
      <w:numPr>
        <w:ilvl w:val="2"/>
        <w:numId w:val="2"/>
      </w:numPr>
      <w:spacing w:beforeLines="50" w:afterLines="50" w:line="240" w:lineRule="auto"/>
      <w:outlineLvl w:val="9"/>
    </w:pPr>
    <w:rPr>
      <w:bCs/>
    </w:rPr>
  </w:style>
  <w:style w:type="paragraph" w:customStyle="1" w:styleId="43">
    <w:name w:val="XBRLTitle4"/>
    <w:basedOn w:val="12"/>
    <w:next w:val="5"/>
    <w:qFormat/>
    <w:uiPriority w:val="0"/>
    <w:pPr>
      <w:numPr>
        <w:ilvl w:val="3"/>
        <w:numId w:val="2"/>
      </w:numPr>
      <w:spacing w:beforeLines="50" w:afterLines="50" w:line="240" w:lineRule="auto"/>
      <w:outlineLvl w:val="9"/>
    </w:pPr>
    <w:rPr>
      <w:bCs/>
    </w:rPr>
  </w:style>
  <w:style w:type="paragraph" w:customStyle="1" w:styleId="44">
    <w:name w:val="XBRLTitle5"/>
    <w:basedOn w:val="12"/>
    <w:next w:val="5"/>
    <w:qFormat/>
    <w:uiPriority w:val="0"/>
    <w:pPr>
      <w:numPr>
        <w:ilvl w:val="4"/>
        <w:numId w:val="2"/>
      </w:numPr>
      <w:spacing w:beforeLines="50" w:afterLines="50" w:line="240" w:lineRule="auto"/>
      <w:outlineLvl w:val="9"/>
    </w:pPr>
    <w:rPr>
      <w:bCs/>
    </w:rPr>
  </w:style>
  <w:style w:type="paragraph" w:customStyle="1" w:styleId="45">
    <w:name w:val="XBRLTitle6"/>
    <w:basedOn w:val="12"/>
    <w:next w:val="5"/>
    <w:qFormat/>
    <w:uiPriority w:val="0"/>
    <w:pPr>
      <w:numPr>
        <w:ilvl w:val="5"/>
        <w:numId w:val="2"/>
      </w:numPr>
      <w:spacing w:beforeLines="50" w:afterLines="50" w:line="240" w:lineRule="auto"/>
      <w:outlineLvl w:val="9"/>
    </w:pPr>
    <w:rPr>
      <w:bCs/>
    </w:rPr>
  </w:style>
  <w:style w:type="paragraph" w:customStyle="1" w:styleId="4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47">
    <w:name w:val="脚注文本 Char"/>
    <w:link w:val="13"/>
    <w:qFormat/>
    <w:uiPriority w:val="0"/>
    <w:rPr>
      <w:kern w:val="2"/>
      <w:sz w:val="18"/>
      <w:szCs w:val="18"/>
    </w:rPr>
  </w:style>
  <w:style w:type="character" w:customStyle="1" w:styleId="48">
    <w:name w:val="日期 Char"/>
    <w:link w:val="8"/>
    <w:qFormat/>
    <w:uiPriority w:val="0"/>
    <w:rPr>
      <w:rFonts w:ascii="宋体"/>
      <w:kern w:val="2"/>
      <w:sz w:val="32"/>
    </w:rPr>
  </w:style>
  <w:style w:type="paragraph" w:styleId="4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5991;&#26723;\&#39033;&#30446;\2021&#24180;&#36845;&#20195;&#20116;\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440C9-1D0A-42F2-A352-4AA72228F243}">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5</Pages>
  <Words>480</Words>
  <Characters>2742</Characters>
  <Lines>22</Lines>
  <Paragraphs>6</Paragraphs>
  <TotalTime>5</TotalTime>
  <ScaleCrop>false</ScaleCrop>
  <LinksUpToDate>false</LinksUpToDate>
  <CharactersWithSpaces>3216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2021-05-07T08:06:00Z</dcterms:created>
  <dc:creator>yss</dc:creator>
  <cp:lastModifiedBy>孙雯</cp:lastModifiedBy>
  <cp:lastPrinted>2411-12-31T16:00:00Z</cp:lastPrinted>
  <dcterms:modified xsi:type="dcterms:W3CDTF">2024-04-19T05:51:53Z</dcterms:modified>
  <dc:title>gongGaoMingCheng</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enerator">
    <vt:lpwstr>NPOI</vt:lpwstr>
  </property>
  <property fmtid="{D5CDD505-2E9C-101B-9397-08002B2CF9AE}" pid="4" name="Generator Version">
    <vt:lpwstr>2.2.1</vt:lpwstr>
  </property>
  <property fmtid="{D5CDD505-2E9C-101B-9397-08002B2CF9AE}" pid="5" name="ICV">
    <vt:lpwstr>C893FC4C96FC4205ACB7B98131741C3D</vt:lpwstr>
  </property>
</Properties>
</file>