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80" w:lineRule="auto"/>
        <w:jc w:val="center"/>
        <w:rPr>
          <w:rFonts w:hint="eastAsia" w:ascii="宋体" w:hAnsi="宋体" w:cs="Times New Roman"/>
          <w:b/>
          <w:sz w:val="40"/>
          <w:szCs w:val="40"/>
        </w:rPr>
      </w:pPr>
    </w:p>
    <w:p>
      <w:pPr>
        <w:spacing w:line="480" w:lineRule="auto"/>
        <w:jc w:val="center"/>
        <w:rPr>
          <w:rFonts w:hint="eastAsia" w:ascii="宋体" w:hAnsi="宋体" w:cs="Times New Roman"/>
          <w:b/>
          <w:sz w:val="40"/>
          <w:szCs w:val="40"/>
        </w:rPr>
      </w:pPr>
    </w:p>
    <w:p>
      <w:pPr>
        <w:spacing w:line="480" w:lineRule="auto"/>
        <w:jc w:val="center"/>
        <w:rPr>
          <w:rFonts w:hint="eastAsia" w:ascii="宋体" w:hAnsi="宋体" w:cs="Times New Roman"/>
          <w:b/>
          <w:sz w:val="40"/>
          <w:szCs w:val="40"/>
        </w:rPr>
      </w:pPr>
    </w:p>
    <w:p>
      <w:pPr>
        <w:spacing w:line="480" w:lineRule="auto"/>
        <w:jc w:val="center"/>
        <w:rPr>
          <w:rFonts w:hint="eastAsia" w:ascii="宋体" w:hAnsi="宋体" w:cs="Times New Roman"/>
          <w:b/>
          <w:sz w:val="40"/>
          <w:szCs w:val="40"/>
        </w:rPr>
      </w:pPr>
    </w:p>
    <w:p>
      <w:pPr>
        <w:spacing w:line="480" w:lineRule="auto"/>
        <w:jc w:val="center"/>
        <w:rPr>
          <w:rFonts w:hint="eastAsia" w:ascii="宋体" w:hAnsi="宋体" w:cs="Times New Roman"/>
          <w:b/>
          <w:sz w:val="40"/>
          <w:szCs w:val="40"/>
        </w:rPr>
      </w:pPr>
    </w:p>
    <w:p>
      <w:pPr>
        <w:spacing w:line="480" w:lineRule="auto"/>
        <w:jc w:val="center"/>
        <w:rPr>
          <w:rFonts w:hint="eastAsia" w:ascii="宋体" w:hAnsi="宋体" w:cs="Times New Roman"/>
          <w:b/>
          <w:sz w:val="40"/>
          <w:szCs w:val="40"/>
        </w:rPr>
      </w:pPr>
    </w:p>
    <w:p>
      <w:pPr>
        <w:spacing w:line="480" w:lineRule="auto"/>
        <w:jc w:val="center"/>
        <w:rPr>
          <w:rFonts w:hint="eastAsia" w:ascii="宋体" w:hAnsi="宋体" w:cs="Times New Roman"/>
          <w:b/>
          <w:sz w:val="40"/>
          <w:szCs w:val="40"/>
        </w:rPr>
      </w:pPr>
    </w:p>
    <w:p>
      <w:pPr>
        <w:spacing w:line="480" w:lineRule="auto"/>
        <w:jc w:val="center"/>
        <w:rPr>
          <w:rFonts w:hint="eastAsia" w:ascii="宋体" w:hAnsi="宋体" w:cs="Times New Roman"/>
          <w:b/>
          <w:sz w:val="40"/>
          <w:szCs w:val="40"/>
        </w:rPr>
      </w:pPr>
    </w:p>
    <w:p>
      <w:pPr>
        <w:spacing w:line="480" w:lineRule="auto"/>
        <w:jc w:val="center"/>
        <w:rPr>
          <w:rFonts w:hint="eastAsia" w:ascii="宋体" w:hAnsi="宋体" w:cs="Times New Roman"/>
          <w:b/>
          <w:sz w:val="40"/>
          <w:szCs w:val="40"/>
        </w:rPr>
      </w:pPr>
    </w:p>
    <w:p>
      <w:pPr>
        <w:spacing w:line="480" w:lineRule="auto"/>
        <w:jc w:val="center"/>
        <w:rPr>
          <w:rFonts w:hint="eastAsia" w:ascii="宋体" w:hAnsi="宋体" w:cs="Times New Roman"/>
          <w:b/>
          <w:sz w:val="40"/>
          <w:szCs w:val="40"/>
        </w:rPr>
      </w:pPr>
    </w:p>
    <w:p>
      <w:pPr>
        <w:spacing w:line="480" w:lineRule="auto"/>
        <w:jc w:val="center"/>
        <w:rPr>
          <w:rFonts w:hint="eastAsia" w:ascii="宋体" w:hAnsi="宋体"/>
          <w:b/>
          <w:sz w:val="40"/>
          <w:szCs w:val="40"/>
        </w:rPr>
      </w:pPr>
      <w:r>
        <w:rPr>
          <w:rFonts w:hint="eastAsia" w:ascii="宋体" w:hAnsi="宋体"/>
          <w:b/>
          <w:sz w:val="40"/>
          <w:szCs w:val="40"/>
        </w:rPr>
        <w:t>兴证期货-福泉1号单一资产管理计划</w:t>
      </w:r>
    </w:p>
    <w:p>
      <w:pPr>
        <w:spacing w:line="480" w:lineRule="auto"/>
        <w:jc w:val="center"/>
        <w:rPr>
          <w:rFonts w:hint="eastAsia" w:ascii="宋体" w:hAnsi="宋体"/>
          <w:b/>
          <w:sz w:val="28"/>
          <w:szCs w:val="28"/>
        </w:rPr>
      </w:pPr>
      <w:r>
        <w:rPr>
          <w:rFonts w:hint="eastAsia" w:ascii="宋体" w:hAnsi="宋体"/>
          <w:b/>
          <w:sz w:val="40"/>
          <w:szCs w:val="40"/>
        </w:rPr>
        <w:t>2023年年度报告</w:t>
      </w:r>
    </w:p>
    <w:p>
      <w:pPr>
        <w:tabs>
          <w:tab w:val="left" w:pos="3147"/>
        </w:tabs>
        <w:jc w:val="left"/>
        <w:rPr>
          <w:rFonts w:hint="eastAsia" w:ascii="宋体" w:hAnsi="宋体" w:eastAsia="宋体"/>
          <w:b/>
          <w:sz w:val="28"/>
          <w:szCs w:val="28"/>
          <w:lang w:eastAsia="zh-CN"/>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spacing w:line="360" w:lineRule="auto"/>
        <w:ind w:firstLine="2409" w:firstLineChars="1000"/>
        <w:jc w:val="both"/>
        <w:rPr>
          <w:b/>
          <w:sz w:val="24"/>
        </w:rPr>
      </w:pPr>
      <w:r>
        <w:rPr>
          <w:b/>
          <w:sz w:val="24"/>
        </w:rPr>
        <w:t>资产管理人：兴证期货有限公司</w:t>
      </w:r>
    </w:p>
    <w:p>
      <w:pPr>
        <w:spacing w:line="360" w:lineRule="auto"/>
        <w:jc w:val="center"/>
        <w:rPr>
          <w:b/>
          <w:sz w:val="24"/>
        </w:rPr>
      </w:pPr>
      <w:r>
        <w:rPr>
          <w:rFonts w:hint="eastAsia"/>
          <w:b/>
          <w:sz w:val="24"/>
          <w:lang w:val="en-US" w:eastAsia="zh-CN"/>
        </w:rPr>
        <w:t xml:space="preserve">   </w:t>
      </w:r>
      <w:r>
        <w:rPr>
          <w:b/>
          <w:sz w:val="24"/>
        </w:rPr>
        <w:t>资产托管人：</w:t>
      </w:r>
      <w:r>
        <w:rPr>
          <w:rFonts w:hint="eastAsia"/>
          <w:b/>
          <w:sz w:val="24"/>
          <w:lang w:val="en-US" w:eastAsia="zh-CN"/>
        </w:rPr>
        <w:t>东方</w:t>
      </w:r>
      <w:r>
        <w:rPr>
          <w:rFonts w:hint="eastAsia"/>
          <w:b/>
          <w:sz w:val="24"/>
          <w:lang w:eastAsia="zh-CN"/>
        </w:rPr>
        <w:t>证券</w:t>
      </w:r>
      <w:r>
        <w:rPr>
          <w:b/>
          <w:sz w:val="24"/>
        </w:rPr>
        <w:t>股份有限公司</w:t>
      </w:r>
    </w:p>
    <w:p>
      <w:pPr>
        <w:jc w:val="center"/>
        <w:rPr>
          <w:rFonts w:ascii="宋体" w:hAnsi="宋体"/>
          <w:b/>
          <w:sz w:val="28"/>
          <w:szCs w:val="28"/>
        </w:rPr>
      </w:pPr>
    </w:p>
    <w:p>
      <w:pPr>
        <w:jc w:val="center"/>
        <w:rPr>
          <w:rFonts w:ascii="宋体" w:hAnsi="宋体"/>
          <w:b/>
          <w:sz w:val="28"/>
          <w:szCs w:val="28"/>
        </w:rPr>
      </w:pPr>
    </w:p>
    <w:p>
      <w:pPr>
        <w:jc w:val="both"/>
        <w:rPr>
          <w:rFonts w:ascii="宋体" w:hAnsi="宋体"/>
          <w:b/>
          <w:sz w:val="28"/>
          <w:szCs w:val="28"/>
        </w:rPr>
      </w:pPr>
    </w:p>
    <w:p>
      <w:pPr>
        <w:pStyle w:val="2"/>
        <w:numPr>
          <w:ilvl w:val="0"/>
          <w:numId w:val="1"/>
        </w:numPr>
        <w:rPr>
          <w:rFonts w:ascii="宋体" w:hAnsi="宋体"/>
        </w:rPr>
      </w:pPr>
      <w:bookmarkStart w:id="0" w:name="_Toc445130137"/>
      <w:r>
        <w:rPr>
          <w:rFonts w:hint="eastAsia" w:ascii="宋体" w:hAnsi="宋体"/>
        </w:rPr>
        <w:t>基金产品概况</w:t>
      </w:r>
      <w:bookmarkEnd w:id="0"/>
    </w:p>
    <w:p>
      <w:pPr>
        <w:pStyle w:val="27"/>
        <w:numPr>
          <w:ilvl w:val="0"/>
          <w:numId w:val="2"/>
        </w:numPr>
        <w:ind w:firstLineChars="0"/>
        <w:outlineLvl w:val="1"/>
        <w:rPr>
          <w:rFonts w:ascii="宋体" w:hAnsi="宋体"/>
          <w:szCs w:val="21"/>
        </w:rPr>
      </w:pPr>
      <w:r>
        <w:rPr>
          <w:rFonts w:hint="eastAsia" w:ascii="宋体" w:hAnsi="宋体"/>
          <w:szCs w:val="21"/>
        </w:rPr>
        <w:t>基金基本情况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1"/>
        <w:gridCol w:w="5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基金名称</w:t>
            </w:r>
          </w:p>
        </w:tc>
        <w:tc>
          <w:tcPr>
            <w:tcW w:w="3439" w:type="pct"/>
          </w:tcPr>
          <w:p>
            <w:pPr>
              <w:tabs>
                <w:tab w:val="left" w:pos="1210"/>
              </w:tabs>
              <w:rPr>
                <w:rFonts w:ascii="宋体" w:hAnsi="宋体"/>
              </w:rPr>
            </w:pPr>
            <w:r>
              <w:rPr>
                <w:rFonts w:ascii="宋体" w:hAnsi="宋体"/>
              </w:rPr>
              <w:t>兴证期货-福泉1号单一资产管理计划</w:t>
            </w:r>
            <w:r>
              <w:rPr>
                <w:rFonts w:ascii="宋体" w:hAnsi="宋体"/>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基金编码</w:t>
            </w:r>
          </w:p>
        </w:tc>
        <w:tc>
          <w:tcPr>
            <w:tcW w:w="3439" w:type="pct"/>
          </w:tcPr>
          <w:p>
            <w:pPr>
              <w:rPr>
                <w:rFonts w:ascii="宋体" w:hAnsi="宋体"/>
              </w:rPr>
            </w:pPr>
            <w:r>
              <w:rPr>
                <w:rFonts w:ascii="宋体" w:hAnsi="宋体"/>
              </w:rPr>
              <w:t>SZX731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基金运作方式</w:t>
            </w:r>
          </w:p>
        </w:tc>
        <w:tc>
          <w:tcPr>
            <w:tcW w:w="3439" w:type="pct"/>
          </w:tcPr>
          <w:p>
            <w:pPr>
              <w:rPr>
                <w:rFonts w:ascii="宋体" w:hAnsi="宋体"/>
              </w:rPr>
            </w:pPr>
            <w:r>
              <w:rPr>
                <w:rFonts w:ascii="宋体" w:hAnsi="宋体"/>
              </w:rPr>
              <w:t>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基金成立日期</w:t>
            </w:r>
          </w:p>
        </w:tc>
        <w:tc>
          <w:tcPr>
            <w:tcW w:w="3439" w:type="pct"/>
          </w:tcPr>
          <w:p>
            <w:pPr>
              <w:rPr>
                <w:rFonts w:ascii="宋体" w:hAnsi="宋体"/>
              </w:rPr>
            </w:pPr>
            <w:r>
              <w:rPr>
                <w:rFonts w:ascii="宋体" w:hAnsi="宋体"/>
              </w:rPr>
              <w:t>2023年7月12日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基金管理人</w:t>
            </w:r>
          </w:p>
        </w:tc>
        <w:tc>
          <w:tcPr>
            <w:tcW w:w="3439" w:type="pct"/>
          </w:tcPr>
          <w:p>
            <w:pPr>
              <w:rPr>
                <w:rFonts w:ascii="宋体" w:hAnsi="宋体"/>
              </w:rPr>
            </w:pPr>
            <w:r>
              <w:rPr>
                <w:rFonts w:ascii="宋体" w:hAnsi="宋体"/>
              </w:rPr>
              <w:t>兴证期货有限公司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基金托管人（如有）</w:t>
            </w:r>
          </w:p>
        </w:tc>
        <w:tc>
          <w:tcPr>
            <w:tcW w:w="3439" w:type="pct"/>
          </w:tcPr>
          <w:p>
            <w:pPr>
              <w:rPr>
                <w:rFonts w:ascii="宋体" w:hAnsi="宋体"/>
              </w:rPr>
            </w:pPr>
            <w:r>
              <w:rPr>
                <w:rFonts w:ascii="宋体" w:hAnsi="宋体"/>
              </w:rPr>
              <w:t>东方证券股份有限公司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投资顾问（如有）</w:t>
            </w:r>
          </w:p>
        </w:tc>
        <w:tc>
          <w:tcPr>
            <w:tcW w:w="3439" w:type="pct"/>
          </w:tcPr>
          <w:p>
            <w:pPr>
              <w:rPr>
                <w:rFonts w:hint="eastAsia" w:ascii="宋体" w:hAnsi="宋体" w:eastAsia="宋体"/>
                <w:lang w:eastAsia="zh-CN"/>
              </w:rPr>
            </w:pPr>
            <w:r>
              <w:rPr>
                <w:rFonts w:hint="eastAsia" w:ascii="宋体" w:hAnsi="宋体"/>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期末基金总份额（万份）/期末基金实缴总额（万元）</w:t>
            </w:r>
          </w:p>
        </w:tc>
        <w:tc>
          <w:tcPr>
            <w:tcW w:w="3439" w:type="pct"/>
            <w:vAlign w:val="center"/>
          </w:tcPr>
          <w:p>
            <w:pPr>
              <w:jc w:val="right"/>
              <w:rPr>
                <w:rFonts w:hint="eastAsia" w:ascii="宋体" w:hAnsi="宋体" w:eastAsia="宋体"/>
                <w:lang w:eastAsia="zh-CN"/>
              </w:rPr>
            </w:pPr>
            <w:r>
              <w:rPr>
                <w:rFonts w:ascii="宋体" w:hAnsi="宋体"/>
              </w:rPr>
              <w:t>19,916.7</w:t>
            </w:r>
            <w:r>
              <w:rPr>
                <w:rFonts w:hint="eastAsia" w:ascii="宋体" w:hAnsi="宋体"/>
                <w:lang w:val="en-US" w:eastAsia="zh-CN"/>
              </w:rPr>
              <w:t>7</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基金到期日期</w:t>
            </w:r>
          </w:p>
        </w:tc>
        <w:tc>
          <w:tcPr>
            <w:tcW w:w="3439" w:type="pct"/>
          </w:tcPr>
          <w:p>
            <w:pPr>
              <w:rPr>
                <w:rFonts w:ascii="宋体" w:hAnsi="宋体"/>
              </w:rPr>
            </w:pPr>
            <w:r>
              <w:rPr>
                <w:rFonts w:ascii="宋体" w:hAnsi="宋体"/>
              </w:rPr>
              <w:t>2033年7月1</w:t>
            </w:r>
            <w:r>
              <w:rPr>
                <w:rFonts w:hint="eastAsia" w:ascii="宋体" w:hAnsi="宋体"/>
                <w:lang w:val="en-US" w:eastAsia="zh-CN"/>
              </w:rPr>
              <w:t>1</w:t>
            </w:r>
            <w:r>
              <w:rPr>
                <w:rFonts w:ascii="宋体" w:hAnsi="宋体"/>
              </w:rPr>
              <w:t>日</w:t>
            </w:r>
          </w:p>
        </w:tc>
      </w:tr>
    </w:tbl>
    <w:p>
      <w:pPr>
        <w:rPr>
          <w:rFonts w:ascii="宋体" w:hAnsi="宋体"/>
          <w:szCs w:val="21"/>
        </w:rPr>
      </w:pPr>
    </w:p>
    <w:p>
      <w:pPr>
        <w:pStyle w:val="27"/>
        <w:numPr>
          <w:ilvl w:val="0"/>
          <w:numId w:val="2"/>
        </w:numPr>
        <w:ind w:firstLineChars="0"/>
        <w:outlineLvl w:val="1"/>
        <w:rPr>
          <w:rFonts w:ascii="宋体" w:hAnsi="宋体"/>
          <w:szCs w:val="21"/>
        </w:rPr>
      </w:pPr>
      <w:r>
        <w:rPr>
          <w:rFonts w:hint="eastAsia" w:ascii="宋体" w:hAnsi="宋体"/>
          <w:szCs w:val="21"/>
        </w:rPr>
        <w:t>基金产品说明</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1"/>
        <w:gridCol w:w="5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pct"/>
          </w:tcPr>
          <w:p>
            <w:pPr>
              <w:rPr>
                <w:rFonts w:ascii="宋体" w:hAnsi="宋体"/>
                <w:szCs w:val="21"/>
              </w:rPr>
            </w:pPr>
            <w:r>
              <w:rPr>
                <w:rFonts w:hint="eastAsia" w:ascii="宋体" w:hAnsi="宋体"/>
                <w:szCs w:val="21"/>
              </w:rPr>
              <w:t>投资目标</w:t>
            </w:r>
          </w:p>
        </w:tc>
        <w:tc>
          <w:tcPr>
            <w:tcW w:w="3432" w:type="pct"/>
          </w:tcPr>
          <w:p>
            <w:pPr>
              <w:rPr>
                <w:rFonts w:ascii="宋体" w:hAnsi="宋体"/>
              </w:rPr>
            </w:pPr>
            <w:r>
              <w:rPr>
                <w:rFonts w:hint="eastAsia" w:ascii="宋体" w:hAnsi="宋体"/>
              </w:rPr>
              <w:t>在投资期限内，在严格控制风险的前提下，力求委托财产的保值增值。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pct"/>
          </w:tcPr>
          <w:p>
            <w:pPr>
              <w:rPr>
                <w:rFonts w:ascii="宋体" w:hAnsi="宋体"/>
                <w:szCs w:val="21"/>
              </w:rPr>
            </w:pPr>
            <w:r>
              <w:rPr>
                <w:rFonts w:hint="eastAsia" w:ascii="宋体" w:hAnsi="宋体"/>
                <w:szCs w:val="21"/>
              </w:rPr>
              <w:t>投资策略</w:t>
            </w:r>
          </w:p>
        </w:tc>
        <w:tc>
          <w:tcPr>
            <w:tcW w:w="3432" w:type="pct"/>
          </w:tcPr>
          <w:p>
            <w:pPr>
              <w:rPr>
                <w:rFonts w:ascii="宋体" w:hAnsi="宋体"/>
              </w:rPr>
            </w:pPr>
            <w:r>
              <w:rPr>
                <w:rFonts w:hint="eastAsia" w:ascii="宋体" w:hAnsi="宋体"/>
              </w:rPr>
              <w:t>本计划整体为固收策略，选择合适的银行间及交易所债券，以债券配置策略为主。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pct"/>
          </w:tcPr>
          <w:p>
            <w:pPr>
              <w:rPr>
                <w:rFonts w:ascii="宋体" w:hAnsi="宋体"/>
                <w:szCs w:val="21"/>
              </w:rPr>
            </w:pPr>
            <w:r>
              <w:rPr>
                <w:rFonts w:hint="eastAsia" w:ascii="宋体" w:hAnsi="宋体"/>
                <w:szCs w:val="21"/>
              </w:rPr>
              <w:t>业绩比较基准（如有）</w:t>
            </w:r>
          </w:p>
        </w:tc>
        <w:tc>
          <w:tcPr>
            <w:tcW w:w="3432" w:type="pct"/>
          </w:tcPr>
          <w:p>
            <w:pPr>
              <w:rPr>
                <w:rFonts w:ascii="宋体" w:hAnsi="宋体"/>
              </w:rPr>
            </w:pPr>
            <w:r>
              <w:rPr>
                <w:rFonts w:ascii="宋体" w:hAnsi="宋体"/>
              </w:rPr>
              <w:t>本基金不设业绩比较基准。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pct"/>
          </w:tcPr>
          <w:p>
            <w:pPr>
              <w:rPr>
                <w:rFonts w:ascii="宋体" w:hAnsi="宋体"/>
                <w:szCs w:val="21"/>
              </w:rPr>
            </w:pPr>
            <w:r>
              <w:rPr>
                <w:rFonts w:hint="eastAsia" w:ascii="宋体" w:hAnsi="宋体"/>
                <w:szCs w:val="21"/>
              </w:rPr>
              <w:t>风险收益特征</w:t>
            </w:r>
          </w:p>
        </w:tc>
        <w:tc>
          <w:tcPr>
            <w:tcW w:w="3432" w:type="pct"/>
          </w:tcPr>
          <w:p>
            <w:pPr>
              <w:rPr>
                <w:rFonts w:ascii="宋体" w:hAnsi="宋体"/>
              </w:rPr>
            </w:pPr>
            <w:r>
              <w:rPr>
                <w:rFonts w:hint="eastAsia" w:ascii="宋体" w:hAnsi="宋体"/>
              </w:rPr>
              <w:t>基于本计划的投资范围及投资策略，本计划不承诺保本及最低收益，资产管理计划的风险收益级别：R2中低风险，适合专业投资者和风险承受能力为C2、C3、C4、C5的普通投资者，并符合期货公司资产管理业务合格投资者相关标准。</w:t>
            </w:r>
          </w:p>
        </w:tc>
      </w:tr>
    </w:tbl>
    <w:p>
      <w:pPr>
        <w:rPr>
          <w:rFonts w:ascii="宋体" w:hAnsi="宋体"/>
          <w:szCs w:val="21"/>
        </w:rPr>
      </w:pPr>
    </w:p>
    <w:p>
      <w:pPr>
        <w:pStyle w:val="27"/>
        <w:numPr>
          <w:ilvl w:val="0"/>
          <w:numId w:val="2"/>
        </w:numPr>
        <w:ind w:firstLineChars="0"/>
        <w:outlineLvl w:val="1"/>
        <w:rPr>
          <w:rFonts w:ascii="宋体" w:hAnsi="宋体"/>
          <w:szCs w:val="21"/>
        </w:rPr>
      </w:pPr>
      <w:r>
        <w:rPr>
          <w:rFonts w:hint="eastAsia" w:ascii="宋体" w:hAnsi="宋体"/>
          <w:szCs w:val="21"/>
        </w:rPr>
        <w:t>基金管理人和基金托管人</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1173"/>
        <w:gridCol w:w="3136"/>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vAlign w:val="center"/>
          </w:tcPr>
          <w:p>
            <w:pPr>
              <w:jc w:val="center"/>
              <w:rPr>
                <w:rFonts w:ascii="宋体" w:hAnsi="宋体"/>
                <w:b/>
                <w:szCs w:val="21"/>
              </w:rPr>
            </w:pPr>
            <w:r>
              <w:rPr>
                <w:rFonts w:hint="eastAsia" w:ascii="宋体" w:hAnsi="宋体"/>
                <w:b/>
                <w:szCs w:val="21"/>
              </w:rPr>
              <w:t>项目</w:t>
            </w:r>
          </w:p>
        </w:tc>
        <w:tc>
          <w:tcPr>
            <w:tcW w:w="1840" w:type="pct"/>
            <w:vAlign w:val="center"/>
          </w:tcPr>
          <w:p>
            <w:pPr>
              <w:jc w:val="center"/>
              <w:rPr>
                <w:rFonts w:ascii="宋体" w:hAnsi="宋体"/>
                <w:b/>
                <w:szCs w:val="21"/>
              </w:rPr>
            </w:pPr>
            <w:r>
              <w:rPr>
                <w:rFonts w:hint="eastAsia" w:ascii="宋体" w:hAnsi="宋体"/>
                <w:b/>
                <w:szCs w:val="21"/>
              </w:rPr>
              <w:t>基金管理人</w:t>
            </w:r>
          </w:p>
        </w:tc>
        <w:tc>
          <w:tcPr>
            <w:tcW w:w="1848" w:type="pct"/>
            <w:vAlign w:val="center"/>
          </w:tcPr>
          <w:p>
            <w:pPr>
              <w:jc w:val="center"/>
              <w:rPr>
                <w:rFonts w:ascii="宋体" w:hAnsi="宋体"/>
                <w:b/>
                <w:szCs w:val="21"/>
              </w:rPr>
            </w:pPr>
            <w:r>
              <w:rPr>
                <w:rFonts w:hint="eastAsia" w:ascii="宋体" w:hAnsi="宋体"/>
                <w:b/>
                <w:szCs w:val="21"/>
              </w:rPr>
              <w:t>基金托管人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tcPr>
          <w:p>
            <w:pPr>
              <w:rPr>
                <w:rFonts w:ascii="宋体" w:hAnsi="宋体"/>
                <w:szCs w:val="21"/>
              </w:rPr>
            </w:pPr>
            <w:r>
              <w:rPr>
                <w:rFonts w:hint="eastAsia" w:ascii="宋体" w:hAnsi="宋体"/>
                <w:szCs w:val="21"/>
              </w:rPr>
              <w:t>名称</w:t>
            </w:r>
          </w:p>
        </w:tc>
        <w:tc>
          <w:tcPr>
            <w:tcW w:w="1840" w:type="pct"/>
          </w:tcPr>
          <w:p>
            <w:pPr>
              <w:rPr>
                <w:rFonts w:ascii="宋体" w:hAnsi="宋体"/>
              </w:rPr>
            </w:pPr>
            <w:r>
              <w:rPr>
                <w:rFonts w:ascii="宋体" w:hAnsi="宋体"/>
              </w:rPr>
              <w:t>兴证期货有限公司</w:t>
            </w:r>
          </w:p>
        </w:tc>
        <w:tc>
          <w:tcPr>
            <w:tcW w:w="1848" w:type="pct"/>
          </w:tcPr>
          <w:p>
            <w:pPr>
              <w:rPr>
                <w:rFonts w:ascii="宋体" w:hAnsi="宋体"/>
              </w:rPr>
            </w:pPr>
            <w:r>
              <w:rPr>
                <w:rFonts w:ascii="宋体" w:hAnsi="宋体"/>
              </w:rPr>
              <w:t>东方证券股份有限公司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Merge w:val="restart"/>
            <w:vAlign w:val="center"/>
          </w:tcPr>
          <w:p>
            <w:pPr>
              <w:jc w:val="center"/>
              <w:rPr>
                <w:rFonts w:ascii="宋体" w:hAnsi="宋体"/>
                <w:szCs w:val="21"/>
              </w:rPr>
            </w:pPr>
            <w:r>
              <w:rPr>
                <w:rFonts w:hint="eastAsia" w:ascii="宋体" w:hAnsi="宋体"/>
                <w:szCs w:val="21"/>
              </w:rPr>
              <w:t>信息披露负责人</w:t>
            </w:r>
          </w:p>
        </w:tc>
        <w:tc>
          <w:tcPr>
            <w:tcW w:w="688" w:type="pct"/>
          </w:tcPr>
          <w:p>
            <w:pPr>
              <w:rPr>
                <w:rFonts w:ascii="宋体" w:hAnsi="宋体"/>
                <w:szCs w:val="21"/>
              </w:rPr>
            </w:pPr>
            <w:r>
              <w:rPr>
                <w:rFonts w:hint="eastAsia" w:ascii="宋体" w:hAnsi="宋体"/>
                <w:szCs w:val="21"/>
              </w:rPr>
              <w:t>姓名</w:t>
            </w:r>
          </w:p>
        </w:tc>
        <w:tc>
          <w:tcPr>
            <w:tcW w:w="1840" w:type="pct"/>
          </w:tcPr>
          <w:p>
            <w:pPr>
              <w:rPr>
                <w:rFonts w:ascii="宋体" w:hAnsi="宋体"/>
              </w:rPr>
            </w:pPr>
            <w:r>
              <w:rPr>
                <w:rFonts w:hint="eastAsia" w:ascii="宋体" w:hAnsi="宋体"/>
                <w:lang w:val="en-US" w:eastAsia="zh-CN"/>
              </w:rPr>
              <w:t>孙雯</w:t>
            </w:r>
          </w:p>
        </w:tc>
        <w:tc>
          <w:tcPr>
            <w:tcW w:w="1848" w:type="pct"/>
          </w:tcPr>
          <w:p>
            <w:pPr>
              <w:rPr>
                <w:rFonts w:ascii="宋体" w:hAnsi="宋体"/>
              </w:rPr>
            </w:pPr>
            <w:r>
              <w:rPr>
                <w:rFonts w:ascii="宋体" w:hAnsi="宋体"/>
              </w:rPr>
              <w:t>刘东海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Merge w:val="continue"/>
          </w:tcPr>
          <w:p>
            <w:pPr>
              <w:rPr>
                <w:rFonts w:ascii="宋体" w:hAnsi="宋体"/>
                <w:szCs w:val="21"/>
              </w:rPr>
            </w:pPr>
          </w:p>
        </w:tc>
        <w:tc>
          <w:tcPr>
            <w:tcW w:w="688" w:type="pct"/>
          </w:tcPr>
          <w:p>
            <w:pPr>
              <w:rPr>
                <w:rFonts w:ascii="宋体" w:hAnsi="宋体"/>
                <w:szCs w:val="21"/>
              </w:rPr>
            </w:pPr>
            <w:r>
              <w:rPr>
                <w:rFonts w:hint="eastAsia" w:ascii="宋体" w:hAnsi="宋体"/>
                <w:szCs w:val="21"/>
              </w:rPr>
              <w:t>联系电话</w:t>
            </w:r>
          </w:p>
        </w:tc>
        <w:tc>
          <w:tcPr>
            <w:tcW w:w="1840" w:type="pct"/>
          </w:tcPr>
          <w:p>
            <w:pPr>
              <w:rPr>
                <w:rFonts w:ascii="宋体" w:hAnsi="宋体"/>
              </w:rPr>
            </w:pPr>
            <w:r>
              <w:rPr>
                <w:rFonts w:hint="eastAsia" w:ascii="宋体" w:hAnsi="宋体"/>
                <w:lang w:val="en-US" w:eastAsia="zh-CN"/>
              </w:rPr>
              <w:t>021-20370952</w:t>
            </w:r>
          </w:p>
        </w:tc>
        <w:tc>
          <w:tcPr>
            <w:tcW w:w="1848" w:type="pct"/>
          </w:tcPr>
          <w:p>
            <w:pPr>
              <w:rPr>
                <w:rFonts w:ascii="宋体" w:hAnsi="宋体"/>
              </w:rPr>
            </w:pPr>
            <w:r>
              <w:rPr>
                <w:rFonts w:ascii="宋体" w:hAnsi="宋体"/>
              </w:rPr>
              <w:t>021-53530913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Merge w:val="continue"/>
          </w:tcPr>
          <w:p>
            <w:pPr>
              <w:rPr>
                <w:rFonts w:ascii="宋体" w:hAnsi="宋体"/>
                <w:szCs w:val="21"/>
              </w:rPr>
            </w:pPr>
          </w:p>
        </w:tc>
        <w:tc>
          <w:tcPr>
            <w:tcW w:w="688" w:type="pct"/>
          </w:tcPr>
          <w:p>
            <w:pPr>
              <w:rPr>
                <w:rFonts w:ascii="宋体" w:hAnsi="宋体"/>
                <w:szCs w:val="21"/>
              </w:rPr>
            </w:pPr>
            <w:r>
              <w:rPr>
                <w:rFonts w:hint="eastAsia" w:ascii="宋体" w:hAnsi="宋体"/>
                <w:szCs w:val="21"/>
              </w:rPr>
              <w:t>电子邮箱</w:t>
            </w:r>
          </w:p>
        </w:tc>
        <w:tc>
          <w:tcPr>
            <w:tcW w:w="1840" w:type="pct"/>
          </w:tcPr>
          <w:p>
            <w:pPr>
              <w:rPr>
                <w:rFonts w:ascii="宋体" w:hAnsi="宋体"/>
              </w:rPr>
            </w:pPr>
            <w:r>
              <w:rPr>
                <w:rFonts w:hint="eastAsia" w:ascii="宋体" w:hAnsi="宋体"/>
                <w:lang w:val="en-US" w:eastAsia="zh-CN"/>
              </w:rPr>
              <w:t>sunwen@xzfutures.com</w:t>
            </w:r>
          </w:p>
        </w:tc>
        <w:tc>
          <w:tcPr>
            <w:tcW w:w="1848" w:type="pct"/>
          </w:tcPr>
          <w:p>
            <w:pPr>
              <w:rPr>
                <w:rFonts w:ascii="宋体" w:hAnsi="宋体"/>
              </w:rPr>
            </w:pPr>
            <w:r>
              <w:rPr>
                <w:rFonts w:ascii="宋体" w:hAnsi="宋体"/>
              </w:rPr>
              <w:t>liudonghai@orientsec.com.cn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tcPr>
          <w:p>
            <w:pPr>
              <w:rPr>
                <w:rFonts w:ascii="宋体" w:hAnsi="宋体"/>
                <w:szCs w:val="21"/>
              </w:rPr>
            </w:pPr>
            <w:r>
              <w:rPr>
                <w:rFonts w:hint="eastAsia" w:ascii="宋体" w:hAnsi="宋体"/>
                <w:szCs w:val="21"/>
              </w:rPr>
              <w:t>传真</w:t>
            </w:r>
          </w:p>
        </w:tc>
        <w:tc>
          <w:tcPr>
            <w:tcW w:w="1840" w:type="pct"/>
          </w:tcPr>
          <w:p>
            <w:pPr>
              <w:rPr>
                <w:rFonts w:hint="eastAsia" w:ascii="宋体" w:hAnsi="宋体" w:eastAsia="宋体"/>
                <w:lang w:eastAsia="zh-CN"/>
              </w:rPr>
            </w:pPr>
            <w:r>
              <w:rPr>
                <w:rFonts w:hint="eastAsia" w:ascii="宋体" w:hAnsi="宋体"/>
                <w:lang w:val="en-US" w:eastAsia="zh-CN"/>
              </w:rPr>
              <w:t>无</w:t>
            </w:r>
          </w:p>
        </w:tc>
        <w:tc>
          <w:tcPr>
            <w:tcW w:w="1848" w:type="pct"/>
          </w:tcPr>
          <w:p>
            <w:pPr>
              <w:rPr>
                <w:rFonts w:ascii="宋体" w:hAnsi="宋体"/>
              </w:rPr>
            </w:pPr>
            <w:r>
              <w:rPr>
                <w:rFonts w:ascii="宋体" w:hAnsi="宋体"/>
              </w:rPr>
              <w:t>021-63320039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tcPr>
          <w:p>
            <w:pPr>
              <w:rPr>
                <w:rFonts w:ascii="宋体" w:hAnsi="宋体"/>
                <w:szCs w:val="21"/>
              </w:rPr>
            </w:pPr>
            <w:r>
              <w:rPr>
                <w:rFonts w:hint="eastAsia" w:ascii="宋体" w:hAnsi="宋体"/>
                <w:szCs w:val="21"/>
              </w:rPr>
              <w:t>注册地址</w:t>
            </w:r>
          </w:p>
        </w:tc>
        <w:tc>
          <w:tcPr>
            <w:tcW w:w="1840" w:type="pct"/>
          </w:tcPr>
          <w:p>
            <w:pPr>
              <w:rPr>
                <w:rFonts w:ascii="宋体" w:hAnsi="宋体"/>
              </w:rPr>
            </w:pPr>
            <w:r>
              <w:rPr>
                <w:rFonts w:ascii="宋体" w:hAnsi="宋体"/>
              </w:rPr>
              <w:t>福建省福州市鼓楼区温泉街道湖东路268号6层兴业证券大厦</w:t>
            </w:r>
          </w:p>
        </w:tc>
        <w:tc>
          <w:tcPr>
            <w:tcW w:w="1848" w:type="pct"/>
          </w:tcPr>
          <w:p>
            <w:pPr>
              <w:rPr>
                <w:rFonts w:ascii="宋体" w:hAnsi="宋体"/>
              </w:rPr>
            </w:pPr>
            <w:r>
              <w:rPr>
                <w:rFonts w:ascii="宋体" w:hAnsi="宋体"/>
              </w:rPr>
              <w:t>上海市中山南路318号2号楼22层、23层、25-29层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12" w:type="pct"/>
            <w:gridSpan w:val="2"/>
          </w:tcPr>
          <w:p>
            <w:pPr>
              <w:rPr>
                <w:rFonts w:ascii="宋体" w:hAnsi="宋体"/>
                <w:szCs w:val="21"/>
              </w:rPr>
            </w:pPr>
            <w:r>
              <w:rPr>
                <w:rFonts w:hint="eastAsia" w:ascii="宋体" w:hAnsi="宋体"/>
                <w:szCs w:val="21"/>
              </w:rPr>
              <w:t>办公地址</w:t>
            </w:r>
          </w:p>
        </w:tc>
        <w:tc>
          <w:tcPr>
            <w:tcW w:w="1840" w:type="pct"/>
          </w:tcPr>
          <w:p>
            <w:pPr>
              <w:rPr>
                <w:rFonts w:ascii="宋体" w:hAnsi="宋体"/>
              </w:rPr>
            </w:pPr>
            <w:r>
              <w:rPr>
                <w:rFonts w:ascii="宋体" w:hAnsi="宋体"/>
              </w:rPr>
              <w:t>上海市浦东新区长柳路36号兴业证券大厦8楼</w:t>
            </w:r>
          </w:p>
        </w:tc>
        <w:tc>
          <w:tcPr>
            <w:tcW w:w="1848" w:type="pct"/>
          </w:tcPr>
          <w:p>
            <w:pPr>
              <w:rPr>
                <w:rFonts w:ascii="宋体" w:hAnsi="宋体"/>
              </w:rPr>
            </w:pPr>
            <w:r>
              <w:rPr>
                <w:rFonts w:ascii="宋体" w:hAnsi="宋体"/>
              </w:rPr>
              <w:t>上海市中山南路318号2号楼3楼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tcPr>
          <w:p>
            <w:pPr>
              <w:rPr>
                <w:rFonts w:ascii="宋体" w:hAnsi="宋体"/>
                <w:szCs w:val="21"/>
              </w:rPr>
            </w:pPr>
            <w:r>
              <w:rPr>
                <w:rFonts w:hint="eastAsia" w:ascii="宋体" w:hAnsi="宋体"/>
                <w:szCs w:val="21"/>
              </w:rPr>
              <w:t>邮政编码</w:t>
            </w:r>
          </w:p>
        </w:tc>
        <w:tc>
          <w:tcPr>
            <w:tcW w:w="1840" w:type="pct"/>
          </w:tcPr>
          <w:p>
            <w:pPr>
              <w:rPr>
                <w:rFonts w:ascii="宋体" w:hAnsi="宋体"/>
              </w:rPr>
            </w:pPr>
            <w:r>
              <w:rPr>
                <w:rFonts w:hint="eastAsia" w:ascii="宋体" w:hAnsi="宋体"/>
                <w:lang w:val="en-US" w:eastAsia="zh-CN"/>
              </w:rPr>
              <w:t>200001</w:t>
            </w:r>
          </w:p>
        </w:tc>
        <w:tc>
          <w:tcPr>
            <w:tcW w:w="1848" w:type="pct"/>
          </w:tcPr>
          <w:p>
            <w:pPr>
              <w:rPr>
                <w:rFonts w:ascii="宋体" w:hAnsi="宋体"/>
              </w:rPr>
            </w:pPr>
            <w:r>
              <w:rPr>
                <w:rFonts w:ascii="宋体" w:hAnsi="宋体"/>
              </w:rPr>
              <w:t>200010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tcPr>
          <w:p>
            <w:pPr>
              <w:rPr>
                <w:rFonts w:ascii="宋体" w:hAnsi="宋体"/>
                <w:szCs w:val="21"/>
              </w:rPr>
            </w:pPr>
            <w:r>
              <w:rPr>
                <w:rFonts w:hint="eastAsia" w:ascii="宋体" w:hAnsi="宋体"/>
                <w:szCs w:val="21"/>
              </w:rPr>
              <w:t>法定代表人</w:t>
            </w:r>
          </w:p>
        </w:tc>
        <w:tc>
          <w:tcPr>
            <w:tcW w:w="1840" w:type="pct"/>
          </w:tcPr>
          <w:p>
            <w:pPr>
              <w:rPr>
                <w:rFonts w:ascii="宋体" w:hAnsi="宋体"/>
              </w:rPr>
            </w:pPr>
            <w:r>
              <w:rPr>
                <w:rFonts w:hint="eastAsia" w:ascii="宋体" w:hAnsi="宋体"/>
                <w:lang w:val="en-US" w:eastAsia="zh-CN"/>
              </w:rPr>
              <w:t>周峰</w:t>
            </w:r>
          </w:p>
        </w:tc>
        <w:tc>
          <w:tcPr>
            <w:tcW w:w="1848" w:type="pct"/>
          </w:tcPr>
          <w:p>
            <w:pPr>
              <w:rPr>
                <w:rFonts w:ascii="宋体" w:hAnsi="宋体"/>
              </w:rPr>
            </w:pPr>
            <w:r>
              <w:rPr>
                <w:rFonts w:ascii="宋体" w:hAnsi="宋体"/>
              </w:rPr>
              <w:t>金文忠</w:t>
            </w:r>
          </w:p>
        </w:tc>
      </w:tr>
    </w:tbl>
    <w:p>
      <w:pPr>
        <w:rPr>
          <w:rFonts w:ascii="宋体" w:hAnsi="宋体"/>
          <w:szCs w:val="21"/>
        </w:rPr>
      </w:pPr>
    </w:p>
    <w:p>
      <w:pPr>
        <w:pStyle w:val="27"/>
        <w:numPr>
          <w:ilvl w:val="0"/>
          <w:numId w:val="2"/>
        </w:numPr>
        <w:ind w:firstLineChars="0"/>
        <w:outlineLvl w:val="1"/>
        <w:rPr>
          <w:rFonts w:ascii="宋体" w:hAnsi="宋体"/>
          <w:szCs w:val="21"/>
        </w:rPr>
      </w:pPr>
      <w:r>
        <w:rPr>
          <w:rFonts w:hint="eastAsia" w:ascii="宋体" w:hAnsi="宋体"/>
          <w:szCs w:val="21"/>
        </w:rPr>
        <w:t>信息披露方式</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48" w:lineRule="auto"/>
              <w:ind w:firstLine="420" w:firstLineChars="200"/>
              <w:contextualSpacing/>
              <w:rPr>
                <w:szCs w:val="21"/>
              </w:rPr>
            </w:pPr>
            <w:r>
              <w:rPr>
                <w:szCs w:val="21"/>
              </w:rPr>
              <w:t>资产管理人向资产委托人提供的报告，将严格按照《资管细则》及其他有关规定通过以下至少一种方式进行。资产委托人信息查询将通过以下至少一种中国证监会允许的、本合同约定的方式进行。</w:t>
            </w:r>
          </w:p>
          <w:p>
            <w:pPr>
              <w:spacing w:line="348" w:lineRule="auto"/>
              <w:ind w:firstLine="420" w:firstLineChars="200"/>
              <w:contextualSpacing/>
              <w:rPr>
                <w:szCs w:val="21"/>
              </w:rPr>
            </w:pPr>
            <w:r>
              <w:rPr>
                <w:szCs w:val="21"/>
              </w:rPr>
              <w:t>（1）网站</w:t>
            </w:r>
          </w:p>
          <w:p>
            <w:pPr>
              <w:spacing w:line="348" w:lineRule="auto"/>
              <w:ind w:firstLine="420" w:firstLineChars="200"/>
              <w:contextualSpacing/>
              <w:rPr>
                <w:szCs w:val="21"/>
              </w:rPr>
            </w:pPr>
            <w:r>
              <w:rPr>
                <w:szCs w:val="21"/>
              </w:rPr>
              <w:t>定期报告、临时报告等有关本资产管理计划的信息将在资产管理人网站上披露，资产委托人可登录后随时查阅并及时关注资产管理人相关更新。</w:t>
            </w:r>
          </w:p>
          <w:p>
            <w:pPr>
              <w:spacing w:line="348" w:lineRule="auto"/>
              <w:ind w:firstLine="420" w:firstLineChars="200"/>
              <w:contextualSpacing/>
              <w:rPr>
                <w:szCs w:val="21"/>
              </w:rPr>
            </w:pPr>
            <w:r>
              <w:rPr>
                <w:szCs w:val="21"/>
              </w:rPr>
              <w:t>资产管理人网站：www.xzfutures.com</w:t>
            </w:r>
            <w:r>
              <w:t xml:space="preserve"> </w:t>
            </w:r>
          </w:p>
          <w:p>
            <w:pPr>
              <w:spacing w:line="348" w:lineRule="auto"/>
              <w:ind w:firstLine="420" w:firstLineChars="200"/>
              <w:contextualSpacing/>
              <w:rPr>
                <w:szCs w:val="21"/>
              </w:rPr>
            </w:pPr>
            <w:r>
              <w:rPr>
                <w:szCs w:val="21"/>
              </w:rPr>
              <w:t>（2）邮寄服务</w:t>
            </w:r>
          </w:p>
          <w:p>
            <w:pPr>
              <w:spacing w:line="348" w:lineRule="auto"/>
              <w:ind w:firstLine="420" w:firstLineChars="200"/>
              <w:contextualSpacing/>
              <w:rPr>
                <w:szCs w:val="21"/>
              </w:rPr>
            </w:pPr>
            <w:r>
              <w:rPr>
                <w:szCs w:val="21"/>
              </w:rPr>
              <w:t>资产管理人向资产委托人邮寄定期报告、临时报告等有关本计划的信息。资产委托人在合同签署页上填写的通信地址为送达地址。通信地址如有变更，资产委托人应当及时通知资产管理人。</w:t>
            </w:r>
          </w:p>
          <w:p>
            <w:pPr>
              <w:spacing w:line="348" w:lineRule="auto"/>
              <w:ind w:firstLine="420" w:firstLineChars="200"/>
              <w:contextualSpacing/>
              <w:rPr>
                <w:szCs w:val="21"/>
              </w:rPr>
            </w:pPr>
            <w:r>
              <w:rPr>
                <w:szCs w:val="21"/>
              </w:rPr>
              <w:t>（3）传真或电子邮件</w:t>
            </w:r>
          </w:p>
          <w:p>
            <w:pPr>
              <w:spacing w:line="348" w:lineRule="auto"/>
              <w:ind w:firstLine="420" w:firstLineChars="200"/>
              <w:contextualSpacing/>
              <w:rPr>
                <w:rFonts w:ascii="宋体" w:hAnsi="宋体"/>
                <w:szCs w:val="21"/>
              </w:rPr>
            </w:pPr>
            <w:r>
              <w:rPr>
                <w:szCs w:val="21"/>
              </w:rPr>
              <w:t>如资产委托人留有传真号、电子邮箱等联系方式的，资产管理人也可通过传真、电子邮件、电报等方式将报告信息通知资产委托人。</w:t>
            </w:r>
          </w:p>
        </w:tc>
      </w:tr>
    </w:tbl>
    <w:p>
      <w:pPr>
        <w:rPr>
          <w:rFonts w:ascii="宋体" w:hAnsi="宋体"/>
          <w:szCs w:val="21"/>
        </w:rPr>
      </w:pPr>
    </w:p>
    <w:p>
      <w:pPr>
        <w:pStyle w:val="27"/>
        <w:numPr>
          <w:ilvl w:val="0"/>
          <w:numId w:val="2"/>
        </w:numPr>
        <w:ind w:firstLineChars="0"/>
        <w:outlineLvl w:val="1"/>
        <w:rPr>
          <w:rFonts w:ascii="宋体" w:hAnsi="宋体"/>
          <w:szCs w:val="21"/>
        </w:rPr>
      </w:pPr>
      <w:r>
        <w:rPr>
          <w:rFonts w:hint="eastAsia" w:ascii="宋体" w:hAnsi="宋体"/>
          <w:szCs w:val="21"/>
        </w:rPr>
        <w:t>其他相关资料</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pPr>
              <w:jc w:val="center"/>
              <w:rPr>
                <w:rFonts w:ascii="宋体" w:hAnsi="宋体"/>
                <w:b/>
                <w:szCs w:val="21"/>
              </w:rPr>
            </w:pPr>
            <w:r>
              <w:rPr>
                <w:rFonts w:hint="eastAsia" w:ascii="宋体" w:hAnsi="宋体"/>
                <w:b/>
                <w:szCs w:val="21"/>
              </w:rPr>
              <w:t>项目</w:t>
            </w:r>
          </w:p>
        </w:tc>
        <w:tc>
          <w:tcPr>
            <w:tcW w:w="1666" w:type="pct"/>
            <w:vAlign w:val="center"/>
          </w:tcPr>
          <w:p>
            <w:pPr>
              <w:jc w:val="center"/>
              <w:rPr>
                <w:rFonts w:ascii="宋体" w:hAnsi="宋体"/>
                <w:b/>
                <w:szCs w:val="21"/>
              </w:rPr>
            </w:pPr>
            <w:r>
              <w:rPr>
                <w:rFonts w:hint="eastAsia" w:ascii="宋体" w:hAnsi="宋体"/>
                <w:b/>
                <w:szCs w:val="21"/>
              </w:rPr>
              <w:t>名称</w:t>
            </w:r>
          </w:p>
        </w:tc>
        <w:tc>
          <w:tcPr>
            <w:tcW w:w="1666" w:type="pct"/>
            <w:vAlign w:val="center"/>
          </w:tcPr>
          <w:p>
            <w:pPr>
              <w:jc w:val="center"/>
              <w:rPr>
                <w:rFonts w:ascii="宋体" w:hAnsi="宋体"/>
                <w:b/>
                <w:szCs w:val="21"/>
              </w:rPr>
            </w:pPr>
            <w:r>
              <w:rPr>
                <w:rFonts w:hint="eastAsia" w:ascii="宋体" w:hAnsi="宋体"/>
                <w:b/>
                <w:szCs w:val="21"/>
              </w:rPr>
              <w:t>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rPr>
                <w:rFonts w:ascii="宋体" w:hAnsi="宋体"/>
                <w:szCs w:val="21"/>
              </w:rPr>
            </w:pPr>
            <w:r>
              <w:rPr>
                <w:rFonts w:hint="eastAsia" w:ascii="宋体" w:hAnsi="宋体"/>
                <w:szCs w:val="21"/>
              </w:rPr>
              <w:t>会计师事务所</w:t>
            </w:r>
          </w:p>
        </w:tc>
        <w:tc>
          <w:tcPr>
            <w:tcW w:w="1666" w:type="pct"/>
          </w:tcPr>
          <w:p>
            <w:pPr>
              <w:rPr>
                <w:rFonts w:ascii="宋体" w:hAnsi="宋体"/>
                <w:szCs w:val="21"/>
              </w:rPr>
            </w:pPr>
            <w:r>
              <w:rPr>
                <w:rFonts w:ascii="宋体" w:hAnsi="宋体"/>
                <w:szCs w:val="21"/>
              </w:rPr>
              <w:t>-</w:t>
            </w:r>
          </w:p>
        </w:tc>
        <w:tc>
          <w:tcPr>
            <w:tcW w:w="1666" w:type="pct"/>
          </w:tcPr>
          <w:p>
            <w:pPr>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rPr>
                <w:rFonts w:ascii="宋体" w:hAnsi="宋体"/>
                <w:szCs w:val="21"/>
              </w:rPr>
            </w:pPr>
            <w:r>
              <w:rPr>
                <w:rFonts w:hint="eastAsia" w:ascii="宋体" w:hAnsi="宋体"/>
                <w:szCs w:val="21"/>
              </w:rPr>
              <w:t>注册登记机构</w:t>
            </w:r>
          </w:p>
        </w:tc>
        <w:tc>
          <w:tcPr>
            <w:tcW w:w="1666" w:type="pct"/>
          </w:tcPr>
          <w:p>
            <w:pPr>
              <w:rPr>
                <w:rFonts w:ascii="宋体" w:hAnsi="宋体"/>
                <w:szCs w:val="21"/>
              </w:rPr>
            </w:pPr>
            <w:r>
              <w:rPr>
                <w:rFonts w:ascii="宋体" w:hAnsi="宋体"/>
                <w:szCs w:val="21"/>
              </w:rPr>
              <w:t>东方证券股份有限公司</w:t>
            </w:r>
          </w:p>
        </w:tc>
        <w:tc>
          <w:tcPr>
            <w:tcW w:w="1666" w:type="pct"/>
          </w:tcPr>
          <w:p>
            <w:pPr>
              <w:rPr>
                <w:rFonts w:ascii="宋体" w:hAnsi="宋体"/>
                <w:szCs w:val="21"/>
              </w:rPr>
            </w:pPr>
            <w:r>
              <w:rPr>
                <w:rFonts w:ascii="宋体" w:hAnsi="宋体"/>
                <w:szCs w:val="21"/>
              </w:rPr>
              <w:t>上海市黄浦区中山南路318号2号楼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rPr>
                <w:rFonts w:ascii="宋体" w:hAnsi="宋体"/>
                <w:szCs w:val="21"/>
              </w:rPr>
            </w:pPr>
            <w:r>
              <w:rPr>
                <w:rFonts w:hint="eastAsia" w:ascii="宋体" w:hAnsi="宋体"/>
                <w:szCs w:val="21"/>
              </w:rPr>
              <w:t>外包机构</w:t>
            </w:r>
          </w:p>
        </w:tc>
        <w:tc>
          <w:tcPr>
            <w:tcW w:w="1666" w:type="pct"/>
          </w:tcPr>
          <w:p>
            <w:pPr>
              <w:rPr>
                <w:rFonts w:ascii="宋体" w:hAnsi="宋体"/>
                <w:szCs w:val="21"/>
              </w:rPr>
            </w:pPr>
            <w:r>
              <w:rPr>
                <w:rFonts w:ascii="宋体" w:hAnsi="宋体"/>
                <w:szCs w:val="21"/>
              </w:rPr>
              <w:t>东方证券股份有限公司</w:t>
            </w:r>
          </w:p>
        </w:tc>
        <w:tc>
          <w:tcPr>
            <w:tcW w:w="1666" w:type="pct"/>
          </w:tcPr>
          <w:p>
            <w:pPr>
              <w:rPr>
                <w:rFonts w:ascii="宋体" w:hAnsi="宋体"/>
                <w:szCs w:val="21"/>
              </w:rPr>
            </w:pPr>
            <w:r>
              <w:rPr>
                <w:rFonts w:ascii="宋体" w:hAnsi="宋体"/>
                <w:szCs w:val="21"/>
              </w:rPr>
              <w:t>上海市黄浦区中山南路318号2号楼</w:t>
            </w:r>
          </w:p>
        </w:tc>
      </w:tr>
    </w:tbl>
    <w:p>
      <w:pPr>
        <w:rPr>
          <w:rFonts w:ascii="宋体" w:hAnsi="宋体"/>
          <w:b/>
          <w:szCs w:val="21"/>
        </w:rPr>
      </w:pPr>
    </w:p>
    <w:p>
      <w:pPr>
        <w:pStyle w:val="2"/>
        <w:numPr>
          <w:ilvl w:val="0"/>
          <w:numId w:val="1"/>
        </w:numPr>
        <w:rPr>
          <w:rFonts w:ascii="宋体" w:hAnsi="宋体"/>
          <w:b w:val="0"/>
          <w:szCs w:val="21"/>
        </w:rPr>
      </w:pPr>
      <w:bookmarkStart w:id="1" w:name="_Toc445130138"/>
      <w:r>
        <w:rPr>
          <w:rFonts w:hint="eastAsia" w:ascii="宋体" w:hAnsi="宋体"/>
          <w:szCs w:val="21"/>
        </w:rPr>
        <w:t>主要</w:t>
      </w:r>
      <w:r>
        <w:rPr>
          <w:rFonts w:hint="eastAsia" w:ascii="宋体" w:hAnsi="宋体"/>
        </w:rPr>
        <w:t>财务</w:t>
      </w:r>
      <w:r>
        <w:rPr>
          <w:rFonts w:hint="eastAsia" w:ascii="宋体" w:hAnsi="宋体"/>
          <w:szCs w:val="21"/>
        </w:rPr>
        <w:t>指标、基金净值表现及利润分配情况</w:t>
      </w:r>
      <w:bookmarkEnd w:id="1"/>
    </w:p>
    <w:p>
      <w:pPr>
        <w:pStyle w:val="27"/>
        <w:numPr>
          <w:ilvl w:val="0"/>
          <w:numId w:val="3"/>
        </w:numPr>
        <w:ind w:firstLineChars="0"/>
        <w:outlineLvl w:val="1"/>
        <w:rPr>
          <w:rFonts w:ascii="宋体" w:hAnsi="宋体"/>
          <w:szCs w:val="21"/>
        </w:rPr>
      </w:pPr>
      <w:r>
        <w:rPr>
          <w:rFonts w:hint="eastAsia" w:ascii="宋体" w:hAnsi="宋体"/>
          <w:szCs w:val="21"/>
        </w:rPr>
        <w:t>主要会计数据和财务指标</w:t>
      </w:r>
    </w:p>
    <w:p>
      <w:pPr>
        <w:pStyle w:val="27"/>
        <w:ind w:left="425" w:right="210" w:firstLine="0" w:firstLineChars="0"/>
        <w:jc w:val="right"/>
      </w:pPr>
      <w:r>
        <w:rPr>
          <w:rFonts w:hint="eastAsia"/>
          <w:b/>
          <w:color w:val="FF0000"/>
        </w:rPr>
        <w:t>金额单位：元</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4"/>
        <w:gridCol w:w="1891"/>
        <w:gridCol w:w="1860"/>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期间数据和指标</w:t>
            </w:r>
          </w:p>
        </w:tc>
        <w:tc>
          <w:tcPr>
            <w:tcW w:w="1109" w:type="pct"/>
            <w:vAlign w:val="center"/>
          </w:tcPr>
          <w:p>
            <w:pPr>
              <w:jc w:val="center"/>
              <w:rPr>
                <w:rFonts w:ascii="宋体" w:hAnsi="宋体"/>
                <w:szCs w:val="21"/>
              </w:rPr>
            </w:pPr>
            <w:r>
              <w:rPr>
                <w:rFonts w:hint="eastAsia" w:ascii="宋体" w:hAnsi="宋体"/>
                <w:szCs w:val="21"/>
              </w:rPr>
              <w:t>2023年</w:t>
            </w:r>
          </w:p>
        </w:tc>
        <w:tc>
          <w:tcPr>
            <w:tcW w:w="1091" w:type="pct"/>
            <w:vAlign w:val="center"/>
          </w:tcPr>
          <w:p>
            <w:pPr>
              <w:jc w:val="center"/>
              <w:rPr>
                <w:rFonts w:ascii="宋体" w:hAnsi="宋体"/>
                <w:szCs w:val="21"/>
              </w:rPr>
            </w:pPr>
            <w:r>
              <w:rPr>
                <w:rFonts w:hint="eastAsia" w:ascii="宋体" w:hAnsi="宋体"/>
                <w:szCs w:val="21"/>
              </w:rPr>
              <w:t>-年</w:t>
            </w:r>
          </w:p>
        </w:tc>
        <w:tc>
          <w:tcPr>
            <w:tcW w:w="1101" w:type="pct"/>
            <w:vAlign w:val="center"/>
          </w:tcPr>
          <w:p>
            <w:pPr>
              <w:jc w:val="center"/>
              <w:rPr>
                <w:rFonts w:ascii="宋体" w:hAnsi="宋体"/>
                <w:szCs w:val="21"/>
              </w:rPr>
            </w:pPr>
            <w:r>
              <w:rPr>
                <w:rFonts w:hint="eastAsia" w:ascii="宋体" w:hAnsi="宋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本期已实现收益</w:t>
            </w:r>
          </w:p>
        </w:tc>
        <w:tc>
          <w:tcPr>
            <w:tcW w:w="1109" w:type="pct"/>
            <w:vAlign w:val="center"/>
          </w:tcPr>
          <w:p>
            <w:pPr>
              <w:jc w:val="right"/>
              <w:rPr>
                <w:rFonts w:ascii="宋体" w:hAnsi="宋体"/>
                <w:szCs w:val="21"/>
              </w:rPr>
            </w:pPr>
            <w:r>
              <w:rPr>
                <w:rFonts w:ascii="宋体" w:hAnsi="宋体"/>
                <w:szCs w:val="21"/>
              </w:rPr>
              <w:t>1,013,391.84</w:t>
            </w:r>
          </w:p>
        </w:tc>
        <w:tc>
          <w:tcPr>
            <w:tcW w:w="1091" w:type="pct"/>
            <w:vAlign w:val="center"/>
          </w:tcPr>
          <w:p>
            <w:pPr>
              <w:jc w:val="right"/>
              <w:rPr>
                <w:rFonts w:ascii="宋体" w:hAnsi="宋体"/>
                <w:szCs w:val="21"/>
              </w:rPr>
            </w:pPr>
            <w:r>
              <w:rPr>
                <w:rFonts w:ascii="宋体" w:hAnsi="宋体"/>
                <w:szCs w:val="21"/>
              </w:rPr>
              <w:t>-</w:t>
            </w:r>
          </w:p>
        </w:tc>
        <w:tc>
          <w:tcPr>
            <w:tcW w:w="1101" w:type="pct"/>
            <w:vAlign w:val="center"/>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本期利润</w:t>
            </w:r>
          </w:p>
        </w:tc>
        <w:tc>
          <w:tcPr>
            <w:tcW w:w="1109" w:type="pct"/>
            <w:vAlign w:val="center"/>
          </w:tcPr>
          <w:p>
            <w:pPr>
              <w:jc w:val="right"/>
              <w:rPr>
                <w:rFonts w:ascii="宋体" w:hAnsi="宋体"/>
                <w:szCs w:val="21"/>
              </w:rPr>
            </w:pPr>
            <w:r>
              <w:rPr>
                <w:rFonts w:ascii="宋体" w:hAnsi="宋体"/>
                <w:szCs w:val="21"/>
              </w:rPr>
              <w:t>3,393,143.30</w:t>
            </w:r>
          </w:p>
        </w:tc>
        <w:tc>
          <w:tcPr>
            <w:tcW w:w="1091" w:type="pct"/>
            <w:vAlign w:val="center"/>
          </w:tcPr>
          <w:p>
            <w:pPr>
              <w:jc w:val="right"/>
              <w:rPr>
                <w:rFonts w:ascii="宋体" w:hAnsi="宋体"/>
                <w:szCs w:val="21"/>
              </w:rPr>
            </w:pPr>
            <w:r>
              <w:rPr>
                <w:rFonts w:ascii="宋体" w:hAnsi="宋体"/>
                <w:szCs w:val="21"/>
              </w:rPr>
              <w:t>-</w:t>
            </w:r>
          </w:p>
        </w:tc>
        <w:tc>
          <w:tcPr>
            <w:tcW w:w="1101" w:type="pct"/>
            <w:vAlign w:val="center"/>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期末数据和指标</w:t>
            </w:r>
          </w:p>
        </w:tc>
        <w:tc>
          <w:tcPr>
            <w:tcW w:w="1109" w:type="pct"/>
            <w:vAlign w:val="center"/>
          </w:tcPr>
          <w:p>
            <w:pPr>
              <w:jc w:val="center"/>
              <w:rPr>
                <w:rFonts w:ascii="宋体" w:hAnsi="宋体"/>
                <w:szCs w:val="21"/>
              </w:rPr>
            </w:pPr>
            <w:r>
              <w:rPr>
                <w:rFonts w:hint="eastAsia" w:ascii="宋体" w:hAnsi="宋体"/>
                <w:szCs w:val="21"/>
              </w:rPr>
              <w:t>2023年末</w:t>
            </w:r>
          </w:p>
        </w:tc>
        <w:tc>
          <w:tcPr>
            <w:tcW w:w="1091" w:type="pct"/>
            <w:vAlign w:val="center"/>
          </w:tcPr>
          <w:p>
            <w:pPr>
              <w:jc w:val="center"/>
              <w:rPr>
                <w:rFonts w:ascii="宋体" w:hAnsi="宋体"/>
                <w:szCs w:val="21"/>
              </w:rPr>
            </w:pPr>
            <w:r>
              <w:rPr>
                <w:rFonts w:hint="eastAsia" w:ascii="宋体" w:hAnsi="宋体"/>
                <w:szCs w:val="21"/>
              </w:rPr>
              <w:t>-年末</w:t>
            </w:r>
          </w:p>
        </w:tc>
        <w:tc>
          <w:tcPr>
            <w:tcW w:w="1101" w:type="pct"/>
            <w:vAlign w:val="center"/>
          </w:tcPr>
          <w:p>
            <w:pPr>
              <w:jc w:val="center"/>
              <w:rPr>
                <w:rFonts w:ascii="宋体" w:hAnsi="宋体"/>
                <w:szCs w:val="21"/>
              </w:rPr>
            </w:pPr>
            <w:r>
              <w:rPr>
                <w:rFonts w:hint="eastAsia" w:ascii="宋体" w:hAnsi="宋体"/>
                <w:szCs w:val="21"/>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期末可供分配利润</w:t>
            </w:r>
          </w:p>
        </w:tc>
        <w:tc>
          <w:tcPr>
            <w:tcW w:w="1109" w:type="pct"/>
            <w:vAlign w:val="center"/>
          </w:tcPr>
          <w:p>
            <w:pPr>
              <w:jc w:val="right"/>
              <w:rPr>
                <w:rFonts w:ascii="宋体" w:hAnsi="宋体"/>
                <w:szCs w:val="21"/>
              </w:rPr>
            </w:pPr>
            <w:r>
              <w:rPr>
                <w:rFonts w:ascii="宋体" w:hAnsi="宋体"/>
                <w:szCs w:val="21"/>
              </w:rPr>
              <w:t>1,845,729.55</w:t>
            </w:r>
          </w:p>
        </w:tc>
        <w:tc>
          <w:tcPr>
            <w:tcW w:w="1091" w:type="pct"/>
            <w:vAlign w:val="center"/>
          </w:tcPr>
          <w:p>
            <w:pPr>
              <w:jc w:val="right"/>
              <w:rPr>
                <w:rFonts w:ascii="宋体" w:hAnsi="宋体"/>
                <w:szCs w:val="21"/>
              </w:rPr>
            </w:pPr>
            <w:r>
              <w:rPr>
                <w:rFonts w:ascii="宋体" w:hAnsi="宋体"/>
                <w:szCs w:val="21"/>
              </w:rPr>
              <w:t>-</w:t>
            </w:r>
          </w:p>
        </w:tc>
        <w:tc>
          <w:tcPr>
            <w:tcW w:w="1101" w:type="pct"/>
            <w:vAlign w:val="center"/>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期末可供分配基金份额利润</w:t>
            </w:r>
          </w:p>
        </w:tc>
        <w:tc>
          <w:tcPr>
            <w:tcW w:w="1109" w:type="pct"/>
            <w:vAlign w:val="center"/>
          </w:tcPr>
          <w:p>
            <w:pPr>
              <w:jc w:val="right"/>
              <w:rPr>
                <w:rFonts w:ascii="宋体" w:hAnsi="宋体"/>
                <w:szCs w:val="21"/>
              </w:rPr>
            </w:pPr>
            <w:r>
              <w:rPr>
                <w:rFonts w:ascii="宋体" w:hAnsi="宋体"/>
                <w:szCs w:val="21"/>
              </w:rPr>
              <w:t>0.0093</w:t>
            </w:r>
          </w:p>
        </w:tc>
        <w:tc>
          <w:tcPr>
            <w:tcW w:w="1091" w:type="pct"/>
            <w:vAlign w:val="center"/>
          </w:tcPr>
          <w:p>
            <w:pPr>
              <w:jc w:val="right"/>
              <w:rPr>
                <w:rFonts w:ascii="宋体" w:hAnsi="宋体"/>
                <w:szCs w:val="21"/>
              </w:rPr>
            </w:pPr>
            <w:r>
              <w:rPr>
                <w:rFonts w:ascii="宋体" w:hAnsi="宋体"/>
                <w:szCs w:val="21"/>
              </w:rPr>
              <w:t>-</w:t>
            </w:r>
          </w:p>
        </w:tc>
        <w:tc>
          <w:tcPr>
            <w:tcW w:w="1101" w:type="pct"/>
            <w:vAlign w:val="center"/>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期末基金净资产</w:t>
            </w:r>
          </w:p>
        </w:tc>
        <w:tc>
          <w:tcPr>
            <w:tcW w:w="1109" w:type="pct"/>
            <w:vAlign w:val="center"/>
          </w:tcPr>
          <w:p>
            <w:pPr>
              <w:jc w:val="right"/>
              <w:rPr>
                <w:rFonts w:ascii="宋体" w:hAnsi="宋体"/>
                <w:szCs w:val="21"/>
              </w:rPr>
            </w:pPr>
            <w:r>
              <w:rPr>
                <w:rFonts w:ascii="宋体" w:hAnsi="宋体"/>
                <w:szCs w:val="21"/>
              </w:rPr>
              <w:t>203,393,143.30</w:t>
            </w:r>
          </w:p>
        </w:tc>
        <w:tc>
          <w:tcPr>
            <w:tcW w:w="1091" w:type="pct"/>
            <w:vAlign w:val="center"/>
          </w:tcPr>
          <w:p>
            <w:pPr>
              <w:jc w:val="right"/>
              <w:rPr>
                <w:rFonts w:ascii="宋体" w:hAnsi="宋体"/>
                <w:szCs w:val="21"/>
              </w:rPr>
            </w:pPr>
            <w:r>
              <w:rPr>
                <w:rFonts w:ascii="宋体" w:hAnsi="宋体"/>
                <w:szCs w:val="21"/>
              </w:rPr>
              <w:t>-</w:t>
            </w:r>
          </w:p>
        </w:tc>
        <w:tc>
          <w:tcPr>
            <w:tcW w:w="1101" w:type="pct"/>
            <w:vAlign w:val="center"/>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报告期期末单位净值</w:t>
            </w:r>
          </w:p>
        </w:tc>
        <w:tc>
          <w:tcPr>
            <w:tcW w:w="1109" w:type="pct"/>
            <w:vAlign w:val="center"/>
          </w:tcPr>
          <w:p>
            <w:pPr>
              <w:jc w:val="right"/>
              <w:rPr>
                <w:rFonts w:ascii="宋体" w:hAnsi="宋体"/>
                <w:szCs w:val="21"/>
              </w:rPr>
            </w:pPr>
            <w:r>
              <w:rPr>
                <w:rFonts w:ascii="宋体" w:hAnsi="宋体"/>
                <w:szCs w:val="21"/>
              </w:rPr>
              <w:t>1.0212</w:t>
            </w:r>
          </w:p>
        </w:tc>
        <w:tc>
          <w:tcPr>
            <w:tcW w:w="1091" w:type="pct"/>
            <w:vAlign w:val="center"/>
          </w:tcPr>
          <w:p>
            <w:pPr>
              <w:jc w:val="right"/>
              <w:rPr>
                <w:rFonts w:ascii="宋体" w:hAnsi="宋体"/>
                <w:szCs w:val="21"/>
              </w:rPr>
            </w:pPr>
            <w:r>
              <w:rPr>
                <w:rFonts w:ascii="宋体" w:hAnsi="宋体"/>
                <w:szCs w:val="21"/>
              </w:rPr>
              <w:t>-</w:t>
            </w:r>
          </w:p>
        </w:tc>
        <w:tc>
          <w:tcPr>
            <w:tcW w:w="1101" w:type="pct"/>
            <w:vAlign w:val="center"/>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累计期末指标</w:t>
            </w:r>
          </w:p>
        </w:tc>
        <w:tc>
          <w:tcPr>
            <w:tcW w:w="1109" w:type="pct"/>
          </w:tcPr>
          <w:p>
            <w:pPr>
              <w:jc w:val="center"/>
              <w:rPr>
                <w:rFonts w:ascii="宋体" w:hAnsi="宋体"/>
                <w:szCs w:val="21"/>
              </w:rPr>
            </w:pPr>
            <w:r>
              <w:rPr>
                <w:rFonts w:hint="eastAsia" w:ascii="宋体" w:hAnsi="宋体"/>
                <w:szCs w:val="21"/>
              </w:rPr>
              <w:t>2023年末</w:t>
            </w:r>
          </w:p>
        </w:tc>
        <w:tc>
          <w:tcPr>
            <w:tcW w:w="1091" w:type="pct"/>
          </w:tcPr>
          <w:p>
            <w:pPr>
              <w:jc w:val="center"/>
              <w:rPr>
                <w:rFonts w:ascii="宋体" w:hAnsi="宋体"/>
                <w:szCs w:val="21"/>
              </w:rPr>
            </w:pPr>
            <w:r>
              <w:rPr>
                <w:rFonts w:hint="eastAsia" w:ascii="宋体" w:hAnsi="宋体"/>
                <w:szCs w:val="21"/>
              </w:rPr>
              <w:t>-年末</w:t>
            </w:r>
          </w:p>
        </w:tc>
        <w:tc>
          <w:tcPr>
            <w:tcW w:w="1101" w:type="pct"/>
          </w:tcPr>
          <w:p>
            <w:pPr>
              <w:jc w:val="center"/>
              <w:rPr>
                <w:rFonts w:ascii="宋体" w:hAnsi="宋体"/>
                <w:szCs w:val="21"/>
              </w:rPr>
            </w:pPr>
            <w:r>
              <w:rPr>
                <w:rFonts w:hint="eastAsia" w:ascii="宋体" w:hAnsi="宋体"/>
                <w:szCs w:val="21"/>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基金份额累计净值增长率（%）</w:t>
            </w:r>
          </w:p>
        </w:tc>
        <w:tc>
          <w:tcPr>
            <w:tcW w:w="1109" w:type="pct"/>
          </w:tcPr>
          <w:p>
            <w:pPr>
              <w:jc w:val="right"/>
              <w:rPr>
                <w:rFonts w:ascii="宋体" w:hAnsi="宋体"/>
                <w:szCs w:val="21"/>
              </w:rPr>
            </w:pPr>
            <w:r>
              <w:rPr>
                <w:rFonts w:ascii="宋体" w:hAnsi="宋体"/>
                <w:szCs w:val="21"/>
              </w:rPr>
              <w:t>2.12</w:t>
            </w:r>
          </w:p>
        </w:tc>
        <w:tc>
          <w:tcPr>
            <w:tcW w:w="1091" w:type="pct"/>
          </w:tcPr>
          <w:p>
            <w:pPr>
              <w:jc w:val="right"/>
              <w:rPr>
                <w:rFonts w:ascii="宋体" w:hAnsi="宋体"/>
                <w:szCs w:val="21"/>
              </w:rPr>
            </w:pPr>
            <w:r>
              <w:rPr>
                <w:rFonts w:ascii="宋体" w:hAnsi="宋体"/>
                <w:szCs w:val="21"/>
              </w:rPr>
              <w:t>-</w:t>
            </w:r>
          </w:p>
        </w:tc>
        <w:tc>
          <w:tcPr>
            <w:tcW w:w="1101" w:type="pct"/>
          </w:tcPr>
          <w:p>
            <w:pPr>
              <w:jc w:val="right"/>
              <w:rPr>
                <w:rFonts w:ascii="宋体" w:hAnsi="宋体"/>
                <w:szCs w:val="21"/>
              </w:rPr>
            </w:pPr>
            <w:r>
              <w:rPr>
                <w:rFonts w:ascii="宋体" w:hAnsi="宋体"/>
                <w:szCs w:val="21"/>
              </w:rPr>
              <w:t>-</w:t>
            </w:r>
          </w:p>
        </w:tc>
      </w:tr>
    </w:tbl>
    <w:p>
      <w:pPr>
        <w:rPr>
          <w:rFonts w:ascii="宋体" w:hAnsi="宋体"/>
          <w:szCs w:val="21"/>
        </w:rPr>
      </w:pPr>
    </w:p>
    <w:p>
      <w:pPr>
        <w:rPr>
          <w:rFonts w:ascii="宋体" w:hAnsi="宋体"/>
          <w:szCs w:val="21"/>
        </w:rPr>
      </w:pPr>
      <w:r>
        <w:rPr>
          <w:rFonts w:hint="eastAsia" w:ascii="宋体" w:hAnsi="宋体"/>
          <w:szCs w:val="21"/>
        </w:rPr>
        <w:fldChar w:fldCharType="begin"/>
      </w:r>
      <w:r>
        <w:rPr>
          <w:rFonts w:hint="eastAsia" w:ascii="宋体" w:hAnsi="宋体"/>
          <w:szCs w:val="21"/>
        </w:rPr>
        <w:instrText xml:space="preserve"> MACROBUTTON  SnrToggleCheckbox √无分级</w:instrText>
      </w:r>
      <w:r>
        <w:rPr>
          <w:rFonts w:hint="eastAsia" w:ascii="宋体" w:hAnsi="宋体"/>
          <w:szCs w:val="21"/>
        </w:rPr>
        <w:fldChar w:fldCharType="end"/>
      </w:r>
      <w:r>
        <w:rPr>
          <w:rFonts w:hint="eastAsia" w:ascii="宋体" w:hAnsi="宋体"/>
          <w:szCs w:val="21"/>
        </w:rPr>
        <w:fldChar w:fldCharType="begin"/>
      </w:r>
      <w:r>
        <w:rPr>
          <w:rFonts w:hint="eastAsia" w:ascii="宋体" w:hAnsi="宋体"/>
          <w:szCs w:val="21"/>
        </w:rPr>
        <w:instrText xml:space="preserve"> MACROBUTTON  SnrToggleCheckbox □二级 </w:instrText>
      </w:r>
      <w:r>
        <w:rPr>
          <w:rFonts w:hint="eastAsia" w:ascii="宋体" w:hAnsi="宋体"/>
          <w:szCs w:val="21"/>
        </w:rPr>
        <w:fldChar w:fldCharType="end"/>
      </w:r>
      <w:r>
        <w:rPr>
          <w:rFonts w:hint="eastAsia" w:ascii="宋体" w:hAnsi="宋体"/>
          <w:szCs w:val="21"/>
        </w:rPr>
        <w:fldChar w:fldCharType="begin"/>
      </w:r>
      <w:r>
        <w:rPr>
          <w:rFonts w:hint="eastAsia" w:ascii="宋体" w:hAnsi="宋体"/>
          <w:szCs w:val="21"/>
        </w:rPr>
        <w:instrText xml:space="preserve"> MACROBUTTON  SnrToggleCheckbox □三级 </w:instrText>
      </w:r>
      <w:r>
        <w:rPr>
          <w:rFonts w:hint="eastAsia" w:ascii="宋体" w:hAnsi="宋体"/>
          <w:szCs w:val="21"/>
        </w:rPr>
        <w:fldChar w:fldCharType="end"/>
      </w:r>
    </w:p>
    <w:p>
      <w:pPr>
        <w:pStyle w:val="27"/>
        <w:numPr>
          <w:ilvl w:val="0"/>
          <w:numId w:val="3"/>
        </w:numPr>
        <w:ind w:firstLineChars="0"/>
        <w:outlineLvl w:val="1"/>
        <w:rPr>
          <w:rFonts w:ascii="宋体" w:hAnsi="宋体"/>
          <w:szCs w:val="21"/>
        </w:rPr>
      </w:pPr>
      <w:r>
        <w:rPr>
          <w:rFonts w:hint="eastAsia" w:ascii="宋体" w:hAnsi="宋体"/>
          <w:szCs w:val="21"/>
        </w:rPr>
        <w:t>基金净值表现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295"/>
        <w:gridCol w:w="1986"/>
        <w:gridCol w:w="1841"/>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center"/>
          </w:tcPr>
          <w:p>
            <w:pPr>
              <w:jc w:val="center"/>
              <w:rPr>
                <w:rFonts w:ascii="宋体" w:hAnsi="宋体"/>
                <w:b/>
                <w:szCs w:val="21"/>
              </w:rPr>
            </w:pPr>
            <w:r>
              <w:rPr>
                <w:rFonts w:hint="eastAsia" w:ascii="宋体" w:hAnsi="宋体"/>
                <w:b/>
                <w:szCs w:val="21"/>
              </w:rPr>
              <w:t>阶段</w:t>
            </w:r>
          </w:p>
        </w:tc>
        <w:tc>
          <w:tcPr>
            <w:tcW w:w="1295" w:type="dxa"/>
            <w:vAlign w:val="center"/>
          </w:tcPr>
          <w:p>
            <w:pPr>
              <w:jc w:val="center"/>
              <w:rPr>
                <w:rFonts w:ascii="宋体" w:hAnsi="宋体"/>
                <w:b/>
                <w:szCs w:val="21"/>
              </w:rPr>
            </w:pPr>
            <w:r>
              <w:rPr>
                <w:rFonts w:hint="eastAsia" w:ascii="宋体" w:hAnsi="宋体"/>
                <w:b/>
                <w:szCs w:val="21"/>
              </w:rPr>
              <w:t>净值增长率（%）</w:t>
            </w:r>
          </w:p>
        </w:tc>
        <w:tc>
          <w:tcPr>
            <w:tcW w:w="1986" w:type="dxa"/>
            <w:vAlign w:val="center"/>
          </w:tcPr>
          <w:p>
            <w:pPr>
              <w:jc w:val="center"/>
              <w:rPr>
                <w:rFonts w:ascii="宋体" w:hAnsi="宋体"/>
                <w:b/>
                <w:szCs w:val="21"/>
              </w:rPr>
            </w:pPr>
            <w:r>
              <w:rPr>
                <w:rFonts w:hint="eastAsia" w:ascii="宋体" w:hAnsi="宋体"/>
                <w:b/>
                <w:szCs w:val="21"/>
              </w:rPr>
              <w:t>净值增长率标准差（%）</w:t>
            </w:r>
          </w:p>
        </w:tc>
        <w:tc>
          <w:tcPr>
            <w:tcW w:w="1841" w:type="dxa"/>
            <w:vAlign w:val="center"/>
          </w:tcPr>
          <w:p>
            <w:pPr>
              <w:jc w:val="center"/>
              <w:rPr>
                <w:rFonts w:ascii="宋体" w:hAnsi="宋体"/>
                <w:b/>
                <w:szCs w:val="21"/>
              </w:rPr>
            </w:pPr>
            <w:r>
              <w:rPr>
                <w:rFonts w:hint="eastAsia" w:ascii="宋体" w:hAnsi="宋体"/>
                <w:b/>
                <w:szCs w:val="21"/>
              </w:rPr>
              <w:t>业绩比较基准收益率（%）</w:t>
            </w:r>
          </w:p>
        </w:tc>
        <w:tc>
          <w:tcPr>
            <w:tcW w:w="2035" w:type="dxa"/>
          </w:tcPr>
          <w:p>
            <w:pPr>
              <w:jc w:val="center"/>
              <w:rPr>
                <w:rFonts w:ascii="宋体" w:hAnsi="宋体"/>
                <w:b/>
                <w:szCs w:val="21"/>
              </w:rPr>
            </w:pPr>
            <w:r>
              <w:rPr>
                <w:rFonts w:hint="eastAsia" w:ascii="宋体" w:hAnsi="宋体"/>
                <w:b/>
                <w:szCs w:val="21"/>
              </w:rPr>
              <w:t>业绩比较基准收益率标准差（%）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center"/>
          </w:tcPr>
          <w:p>
            <w:pPr>
              <w:jc w:val="left"/>
              <w:rPr>
                <w:rFonts w:ascii="宋体" w:hAnsi="宋体"/>
                <w:szCs w:val="21"/>
              </w:rPr>
            </w:pPr>
            <w:r>
              <w:rPr>
                <w:rFonts w:hint="eastAsia" w:ascii="宋体" w:hAnsi="宋体"/>
                <w:szCs w:val="21"/>
              </w:rPr>
              <w:t>当年</w:t>
            </w:r>
          </w:p>
        </w:tc>
        <w:tc>
          <w:tcPr>
            <w:tcW w:w="1295" w:type="dxa"/>
            <w:vAlign w:val="center"/>
          </w:tcPr>
          <w:p>
            <w:pPr>
              <w:jc w:val="right"/>
              <w:rPr>
                <w:rFonts w:ascii="宋体" w:hAnsi="宋体"/>
                <w:szCs w:val="21"/>
              </w:rPr>
            </w:pPr>
            <w:r>
              <w:rPr>
                <w:rFonts w:ascii="宋体" w:hAnsi="宋体"/>
                <w:szCs w:val="21"/>
              </w:rPr>
              <w:t>2.12</w:t>
            </w:r>
          </w:p>
        </w:tc>
        <w:tc>
          <w:tcPr>
            <w:tcW w:w="1986" w:type="dxa"/>
            <w:vAlign w:val="center"/>
          </w:tcPr>
          <w:p>
            <w:pPr>
              <w:jc w:val="right"/>
              <w:rPr>
                <w:rFonts w:ascii="宋体" w:hAnsi="宋体"/>
                <w:szCs w:val="21"/>
              </w:rPr>
            </w:pPr>
            <w:r>
              <w:rPr>
                <w:rFonts w:ascii="宋体" w:hAnsi="宋体"/>
                <w:szCs w:val="21"/>
              </w:rPr>
              <w:t>-</w:t>
            </w:r>
          </w:p>
        </w:tc>
        <w:tc>
          <w:tcPr>
            <w:tcW w:w="1841" w:type="dxa"/>
          </w:tcPr>
          <w:p>
            <w:pPr>
              <w:jc w:val="right"/>
              <w:rPr>
                <w:rFonts w:ascii="宋体" w:hAnsi="宋体"/>
                <w:szCs w:val="21"/>
              </w:rPr>
            </w:pPr>
            <w:r>
              <w:rPr>
                <w:rFonts w:ascii="宋体" w:hAnsi="宋体"/>
                <w:szCs w:val="21"/>
              </w:rPr>
              <w:t>-</w:t>
            </w:r>
          </w:p>
        </w:tc>
        <w:tc>
          <w:tcPr>
            <w:tcW w:w="2035" w:type="dxa"/>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5" w:type="dxa"/>
            <w:vAlign w:val="center"/>
          </w:tcPr>
          <w:p>
            <w:pPr>
              <w:jc w:val="left"/>
              <w:rPr>
                <w:rFonts w:ascii="宋体" w:hAnsi="宋体"/>
                <w:szCs w:val="21"/>
              </w:rPr>
            </w:pPr>
            <w:r>
              <w:rPr>
                <w:rFonts w:hint="eastAsia" w:ascii="宋体" w:hAnsi="宋体"/>
                <w:szCs w:val="21"/>
              </w:rPr>
              <w:t>自基金合同生效起至今</w:t>
            </w:r>
          </w:p>
        </w:tc>
        <w:tc>
          <w:tcPr>
            <w:tcW w:w="1295" w:type="dxa"/>
            <w:vAlign w:val="center"/>
          </w:tcPr>
          <w:p>
            <w:pPr>
              <w:jc w:val="right"/>
              <w:rPr>
                <w:rFonts w:ascii="宋体" w:hAnsi="宋体"/>
                <w:szCs w:val="21"/>
              </w:rPr>
            </w:pPr>
            <w:r>
              <w:rPr>
                <w:rFonts w:ascii="宋体" w:hAnsi="宋体"/>
                <w:szCs w:val="21"/>
              </w:rPr>
              <w:t>2.12</w:t>
            </w:r>
          </w:p>
        </w:tc>
        <w:tc>
          <w:tcPr>
            <w:tcW w:w="1986" w:type="dxa"/>
            <w:vAlign w:val="center"/>
          </w:tcPr>
          <w:p>
            <w:pPr>
              <w:jc w:val="right"/>
              <w:rPr>
                <w:rFonts w:ascii="宋体" w:hAnsi="宋体"/>
                <w:szCs w:val="21"/>
              </w:rPr>
            </w:pPr>
            <w:r>
              <w:rPr>
                <w:rFonts w:ascii="宋体" w:hAnsi="宋体"/>
                <w:szCs w:val="21"/>
              </w:rPr>
              <w:t>-</w:t>
            </w:r>
          </w:p>
        </w:tc>
        <w:tc>
          <w:tcPr>
            <w:tcW w:w="1841" w:type="dxa"/>
          </w:tcPr>
          <w:p>
            <w:pPr>
              <w:jc w:val="right"/>
              <w:rPr>
                <w:rFonts w:ascii="宋体" w:hAnsi="宋体"/>
                <w:szCs w:val="21"/>
              </w:rPr>
            </w:pPr>
            <w:r>
              <w:rPr>
                <w:rFonts w:ascii="宋体" w:hAnsi="宋体"/>
                <w:szCs w:val="21"/>
              </w:rPr>
              <w:t>-</w:t>
            </w:r>
          </w:p>
        </w:tc>
        <w:tc>
          <w:tcPr>
            <w:tcW w:w="2035" w:type="dxa"/>
          </w:tcPr>
          <w:p>
            <w:pPr>
              <w:jc w:val="right"/>
              <w:rPr>
                <w:rFonts w:ascii="宋体" w:hAnsi="宋体"/>
                <w:szCs w:val="21"/>
              </w:rPr>
            </w:pPr>
            <w:r>
              <w:rPr>
                <w:rFonts w:ascii="宋体" w:hAnsi="宋体"/>
                <w:szCs w:val="21"/>
              </w:rPr>
              <w:t>-</w:t>
            </w:r>
          </w:p>
        </w:tc>
      </w:tr>
    </w:tbl>
    <w:p>
      <w:pPr>
        <w:rPr>
          <w:rFonts w:ascii="宋体" w:hAnsi="宋体"/>
          <w:szCs w:val="21"/>
        </w:rPr>
      </w:pPr>
    </w:p>
    <w:p>
      <w:pPr>
        <w:pStyle w:val="27"/>
        <w:numPr>
          <w:ilvl w:val="0"/>
          <w:numId w:val="3"/>
        </w:numPr>
        <w:ind w:firstLineChars="0"/>
        <w:outlineLvl w:val="1"/>
        <w:rPr>
          <w:rFonts w:ascii="宋体" w:hAnsi="宋体"/>
          <w:szCs w:val="21"/>
        </w:rPr>
      </w:pPr>
      <w:r>
        <w:rPr>
          <w:rFonts w:hint="eastAsia" w:ascii="宋体" w:hAnsi="宋体"/>
          <w:szCs w:val="21"/>
        </w:rPr>
        <w:t>过去三年基金的利润分配情况</w:t>
      </w:r>
    </w:p>
    <w:p>
      <w:pPr>
        <w:jc w:val="right"/>
      </w:pPr>
      <w:r>
        <w:rPr>
          <w:rFonts w:hint="eastAsia"/>
          <w:b/>
          <w:color w:val="FF0000"/>
        </w:rPr>
        <w:t>金额单位：元</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957"/>
        <w:gridCol w:w="1718"/>
        <w:gridCol w:w="1732"/>
        <w:gridCol w:w="1375"/>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jc w:val="center"/>
              <w:rPr>
                <w:rFonts w:ascii="宋体" w:hAnsi="宋体"/>
                <w:b/>
                <w:szCs w:val="21"/>
              </w:rPr>
            </w:pPr>
            <w:r>
              <w:rPr>
                <w:rFonts w:hint="eastAsia" w:ascii="宋体" w:hAnsi="宋体"/>
                <w:b/>
                <w:szCs w:val="21"/>
              </w:rPr>
              <w:t>年度</w:t>
            </w:r>
          </w:p>
        </w:tc>
        <w:tc>
          <w:tcPr>
            <w:tcW w:w="1148" w:type="pct"/>
            <w:vAlign w:val="center"/>
          </w:tcPr>
          <w:p>
            <w:pPr>
              <w:jc w:val="center"/>
              <w:rPr>
                <w:rFonts w:ascii="宋体" w:hAnsi="宋体"/>
                <w:b/>
                <w:szCs w:val="21"/>
              </w:rPr>
            </w:pPr>
            <w:r>
              <w:rPr>
                <w:rFonts w:hint="eastAsia" w:ascii="宋体" w:hAnsi="宋体"/>
                <w:b/>
                <w:szCs w:val="21"/>
              </w:rPr>
              <w:t>每份基金份额分红数</w:t>
            </w:r>
          </w:p>
        </w:tc>
        <w:tc>
          <w:tcPr>
            <w:tcW w:w="1008" w:type="pct"/>
            <w:vAlign w:val="center"/>
          </w:tcPr>
          <w:p>
            <w:pPr>
              <w:jc w:val="center"/>
              <w:rPr>
                <w:rFonts w:ascii="宋体" w:hAnsi="宋体"/>
                <w:b/>
                <w:szCs w:val="21"/>
              </w:rPr>
            </w:pPr>
            <w:r>
              <w:rPr>
                <w:rFonts w:hint="eastAsia" w:ascii="宋体" w:hAnsi="宋体"/>
                <w:b/>
                <w:szCs w:val="21"/>
              </w:rPr>
              <w:t>现金形式发放总额</w:t>
            </w:r>
          </w:p>
        </w:tc>
        <w:tc>
          <w:tcPr>
            <w:tcW w:w="1016" w:type="pct"/>
            <w:vAlign w:val="center"/>
          </w:tcPr>
          <w:p>
            <w:pPr>
              <w:jc w:val="center"/>
              <w:rPr>
                <w:rFonts w:ascii="宋体" w:hAnsi="宋体"/>
                <w:b/>
                <w:szCs w:val="21"/>
              </w:rPr>
            </w:pPr>
            <w:r>
              <w:rPr>
                <w:rFonts w:hint="eastAsia" w:ascii="宋体" w:hAnsi="宋体"/>
                <w:b/>
                <w:szCs w:val="21"/>
              </w:rPr>
              <w:t>再投资形式发放总额</w:t>
            </w:r>
          </w:p>
        </w:tc>
        <w:tc>
          <w:tcPr>
            <w:tcW w:w="807" w:type="pct"/>
            <w:vAlign w:val="center"/>
          </w:tcPr>
          <w:p>
            <w:pPr>
              <w:jc w:val="center"/>
              <w:rPr>
                <w:rFonts w:ascii="宋体" w:hAnsi="宋体"/>
                <w:b/>
                <w:szCs w:val="21"/>
              </w:rPr>
            </w:pPr>
            <w:r>
              <w:rPr>
                <w:rFonts w:hint="eastAsia" w:ascii="宋体" w:hAnsi="宋体"/>
                <w:b/>
                <w:szCs w:val="21"/>
              </w:rPr>
              <w:t>年度利润分配合计</w:t>
            </w:r>
          </w:p>
        </w:tc>
        <w:tc>
          <w:tcPr>
            <w:tcW w:w="526" w:type="pct"/>
            <w:vAlign w:val="center"/>
          </w:tcPr>
          <w:p>
            <w:pPr>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jc w:val="left"/>
              <w:rPr>
                <w:rFonts w:ascii="宋体" w:hAnsi="宋体"/>
                <w:szCs w:val="21"/>
              </w:rPr>
            </w:pPr>
            <w:r>
              <w:rPr>
                <w:rFonts w:ascii="宋体" w:hAnsi="宋体"/>
                <w:szCs w:val="21"/>
              </w:rPr>
              <w:t>2023</w:t>
            </w:r>
          </w:p>
        </w:tc>
        <w:tc>
          <w:tcPr>
            <w:tcW w:w="1148" w:type="pct"/>
            <w:vAlign w:val="center"/>
          </w:tcPr>
          <w:p>
            <w:pPr>
              <w:jc w:val="right"/>
              <w:rPr>
                <w:rFonts w:ascii="宋体" w:hAnsi="宋体"/>
                <w:szCs w:val="21"/>
              </w:rPr>
            </w:pPr>
            <w:r>
              <w:rPr>
                <w:rFonts w:ascii="宋体" w:hAnsi="宋体"/>
                <w:szCs w:val="21"/>
              </w:rPr>
              <w:t>0.0000</w:t>
            </w:r>
          </w:p>
        </w:tc>
        <w:tc>
          <w:tcPr>
            <w:tcW w:w="1008" w:type="pct"/>
            <w:vAlign w:val="center"/>
          </w:tcPr>
          <w:p>
            <w:pPr>
              <w:jc w:val="right"/>
              <w:rPr>
                <w:rFonts w:ascii="宋体" w:hAnsi="宋体"/>
                <w:szCs w:val="21"/>
              </w:rPr>
            </w:pPr>
            <w:r>
              <w:rPr>
                <w:rFonts w:ascii="宋体" w:hAnsi="宋体"/>
                <w:szCs w:val="21"/>
              </w:rPr>
              <w:t>0.00</w:t>
            </w:r>
          </w:p>
        </w:tc>
        <w:tc>
          <w:tcPr>
            <w:tcW w:w="1016" w:type="pct"/>
            <w:vAlign w:val="center"/>
          </w:tcPr>
          <w:p>
            <w:pPr>
              <w:jc w:val="right"/>
              <w:rPr>
                <w:rFonts w:ascii="宋体" w:hAnsi="宋体"/>
                <w:szCs w:val="21"/>
              </w:rPr>
            </w:pPr>
            <w:r>
              <w:rPr>
                <w:rFonts w:ascii="宋体" w:hAnsi="宋体"/>
                <w:szCs w:val="21"/>
              </w:rPr>
              <w:t>0.00</w:t>
            </w:r>
          </w:p>
        </w:tc>
        <w:tc>
          <w:tcPr>
            <w:tcW w:w="807" w:type="pct"/>
            <w:vAlign w:val="center"/>
          </w:tcPr>
          <w:p>
            <w:pPr>
              <w:jc w:val="right"/>
              <w:rPr>
                <w:rFonts w:ascii="宋体" w:hAnsi="宋体"/>
                <w:szCs w:val="21"/>
              </w:rPr>
            </w:pPr>
            <w:r>
              <w:rPr>
                <w:rFonts w:ascii="宋体" w:hAnsi="宋体"/>
                <w:szCs w:val="21"/>
              </w:rPr>
              <w:t>0.00</w:t>
            </w:r>
          </w:p>
        </w:tc>
        <w:tc>
          <w:tcPr>
            <w:tcW w:w="526" w:type="pct"/>
            <w:vAlign w:val="center"/>
          </w:tcPr>
          <w:p>
            <w:pPr>
              <w:jc w:val="lef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jc w:val="left"/>
              <w:rPr>
                <w:rFonts w:ascii="宋体" w:hAnsi="宋体"/>
                <w:szCs w:val="21"/>
              </w:rPr>
            </w:pPr>
            <w:r>
              <w:rPr>
                <w:rFonts w:ascii="宋体" w:hAnsi="宋体"/>
                <w:szCs w:val="21"/>
              </w:rPr>
              <w:t>2022</w:t>
            </w:r>
          </w:p>
        </w:tc>
        <w:tc>
          <w:tcPr>
            <w:tcW w:w="1148" w:type="pct"/>
            <w:vAlign w:val="center"/>
          </w:tcPr>
          <w:p>
            <w:pPr>
              <w:jc w:val="right"/>
              <w:rPr>
                <w:rFonts w:ascii="宋体" w:hAnsi="宋体"/>
                <w:szCs w:val="21"/>
              </w:rPr>
            </w:pPr>
            <w:r>
              <w:rPr>
                <w:rFonts w:ascii="宋体" w:hAnsi="宋体"/>
                <w:szCs w:val="21"/>
              </w:rPr>
              <w:t>0.0000</w:t>
            </w:r>
          </w:p>
        </w:tc>
        <w:tc>
          <w:tcPr>
            <w:tcW w:w="1008" w:type="pct"/>
            <w:vAlign w:val="center"/>
          </w:tcPr>
          <w:p>
            <w:pPr>
              <w:jc w:val="right"/>
              <w:rPr>
                <w:rFonts w:ascii="宋体" w:hAnsi="宋体"/>
                <w:szCs w:val="21"/>
              </w:rPr>
            </w:pPr>
            <w:r>
              <w:rPr>
                <w:rFonts w:ascii="宋体" w:hAnsi="宋体"/>
                <w:szCs w:val="21"/>
              </w:rPr>
              <w:t>0.00</w:t>
            </w:r>
          </w:p>
        </w:tc>
        <w:tc>
          <w:tcPr>
            <w:tcW w:w="1016" w:type="pct"/>
            <w:vAlign w:val="center"/>
          </w:tcPr>
          <w:p>
            <w:pPr>
              <w:jc w:val="right"/>
              <w:rPr>
                <w:rFonts w:ascii="宋体" w:hAnsi="宋体"/>
                <w:szCs w:val="21"/>
              </w:rPr>
            </w:pPr>
            <w:r>
              <w:rPr>
                <w:rFonts w:ascii="宋体" w:hAnsi="宋体"/>
                <w:szCs w:val="21"/>
              </w:rPr>
              <w:t>0.00</w:t>
            </w:r>
          </w:p>
        </w:tc>
        <w:tc>
          <w:tcPr>
            <w:tcW w:w="807" w:type="pct"/>
            <w:vAlign w:val="center"/>
          </w:tcPr>
          <w:p>
            <w:pPr>
              <w:jc w:val="right"/>
              <w:rPr>
                <w:rFonts w:ascii="宋体" w:hAnsi="宋体"/>
                <w:szCs w:val="21"/>
              </w:rPr>
            </w:pPr>
            <w:r>
              <w:rPr>
                <w:rFonts w:ascii="宋体" w:hAnsi="宋体"/>
                <w:szCs w:val="21"/>
              </w:rPr>
              <w:t>0.00</w:t>
            </w:r>
          </w:p>
        </w:tc>
        <w:tc>
          <w:tcPr>
            <w:tcW w:w="526" w:type="pct"/>
            <w:vAlign w:val="center"/>
          </w:tcPr>
          <w:p>
            <w:pPr>
              <w:jc w:val="lef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jc w:val="left"/>
              <w:rPr>
                <w:rFonts w:ascii="宋体" w:hAnsi="宋体"/>
                <w:szCs w:val="21"/>
              </w:rPr>
            </w:pPr>
            <w:r>
              <w:rPr>
                <w:rFonts w:ascii="宋体" w:hAnsi="宋体"/>
                <w:szCs w:val="21"/>
              </w:rPr>
              <w:t>2021</w:t>
            </w:r>
          </w:p>
        </w:tc>
        <w:tc>
          <w:tcPr>
            <w:tcW w:w="1148" w:type="pct"/>
            <w:vAlign w:val="center"/>
          </w:tcPr>
          <w:p>
            <w:pPr>
              <w:jc w:val="right"/>
              <w:rPr>
                <w:rFonts w:ascii="宋体" w:hAnsi="宋体"/>
                <w:szCs w:val="21"/>
              </w:rPr>
            </w:pPr>
            <w:r>
              <w:rPr>
                <w:rFonts w:ascii="宋体" w:hAnsi="宋体"/>
                <w:szCs w:val="21"/>
              </w:rPr>
              <w:t>0.0000</w:t>
            </w:r>
          </w:p>
        </w:tc>
        <w:tc>
          <w:tcPr>
            <w:tcW w:w="1008" w:type="pct"/>
            <w:vAlign w:val="center"/>
          </w:tcPr>
          <w:p>
            <w:pPr>
              <w:jc w:val="right"/>
              <w:rPr>
                <w:rFonts w:ascii="宋体" w:hAnsi="宋体"/>
                <w:szCs w:val="21"/>
              </w:rPr>
            </w:pPr>
            <w:r>
              <w:rPr>
                <w:rFonts w:ascii="宋体" w:hAnsi="宋体"/>
                <w:szCs w:val="21"/>
              </w:rPr>
              <w:t>0.00</w:t>
            </w:r>
          </w:p>
        </w:tc>
        <w:tc>
          <w:tcPr>
            <w:tcW w:w="1016" w:type="pct"/>
            <w:vAlign w:val="center"/>
          </w:tcPr>
          <w:p>
            <w:pPr>
              <w:jc w:val="right"/>
              <w:rPr>
                <w:rFonts w:ascii="宋体" w:hAnsi="宋体"/>
                <w:szCs w:val="21"/>
              </w:rPr>
            </w:pPr>
            <w:r>
              <w:rPr>
                <w:rFonts w:ascii="宋体" w:hAnsi="宋体"/>
                <w:szCs w:val="21"/>
              </w:rPr>
              <w:t>0.00</w:t>
            </w:r>
          </w:p>
        </w:tc>
        <w:tc>
          <w:tcPr>
            <w:tcW w:w="807" w:type="pct"/>
            <w:vAlign w:val="center"/>
          </w:tcPr>
          <w:p>
            <w:pPr>
              <w:jc w:val="right"/>
              <w:rPr>
                <w:rFonts w:ascii="宋体" w:hAnsi="宋体"/>
                <w:szCs w:val="21"/>
              </w:rPr>
            </w:pPr>
            <w:r>
              <w:rPr>
                <w:rFonts w:ascii="宋体" w:hAnsi="宋体"/>
                <w:szCs w:val="21"/>
              </w:rPr>
              <w:t>0.00</w:t>
            </w:r>
          </w:p>
        </w:tc>
        <w:tc>
          <w:tcPr>
            <w:tcW w:w="526" w:type="pct"/>
            <w:vAlign w:val="center"/>
          </w:tcPr>
          <w:p>
            <w:pPr>
              <w:jc w:val="left"/>
              <w:rPr>
                <w:rFonts w:ascii="宋体" w:hAnsi="宋体"/>
                <w:szCs w:val="21"/>
              </w:rPr>
            </w:pPr>
            <w:r>
              <w:rPr>
                <w:rFonts w:ascii="宋体" w:hAnsi="宋体"/>
                <w:szCs w:val="21"/>
              </w:rPr>
              <w:t>-</w:t>
            </w:r>
          </w:p>
        </w:tc>
      </w:tr>
    </w:tbl>
    <w:p>
      <w:pPr>
        <w:jc w:val="left"/>
        <w:rPr>
          <w:rFonts w:ascii="宋体" w:hAnsi="宋体"/>
          <w:szCs w:val="21"/>
        </w:rPr>
      </w:pPr>
    </w:p>
    <w:p>
      <w:pPr>
        <w:pStyle w:val="2"/>
        <w:numPr>
          <w:ilvl w:val="0"/>
          <w:numId w:val="1"/>
        </w:numPr>
        <w:rPr>
          <w:rFonts w:ascii="宋体" w:hAnsi="宋体"/>
          <w:szCs w:val="21"/>
        </w:rPr>
      </w:pPr>
      <w:bookmarkStart w:id="2" w:name="_Toc445130139"/>
      <w:r>
        <w:rPr>
          <w:rFonts w:hint="eastAsia" w:ascii="宋体" w:hAnsi="宋体"/>
          <w:szCs w:val="21"/>
        </w:rPr>
        <w:t>基金份额变动情况</w:t>
      </w:r>
      <w:bookmarkEnd w:id="2"/>
    </w:p>
    <w:p>
      <w:pPr>
        <w:adjustRightInd w:val="0"/>
        <w:snapToGrid w:val="0"/>
        <w:jc w:val="right"/>
        <w:rPr>
          <w:rFonts w:ascii="宋体" w:hAnsi="宋体"/>
          <w:szCs w:val="21"/>
        </w:rPr>
      </w:pPr>
      <w:r>
        <w:rPr>
          <w:rFonts w:hint="eastAsia" w:ascii="宋体" w:hAnsi="宋体"/>
          <w:b/>
          <w:color w:val="FF0000"/>
          <w:szCs w:val="21"/>
        </w:rPr>
        <w:t>单位：万份/万元</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0"/>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3397" w:type="pct"/>
            <w:vAlign w:val="center"/>
          </w:tcPr>
          <w:p>
            <w:pPr>
              <w:adjustRightInd w:val="0"/>
              <w:snapToGrid w:val="0"/>
              <w:rPr>
                <w:rFonts w:ascii="宋体" w:hAnsi="宋体"/>
                <w:szCs w:val="21"/>
              </w:rPr>
            </w:pPr>
            <w:r>
              <w:rPr>
                <w:rFonts w:hint="eastAsia" w:ascii="宋体" w:hAnsi="宋体"/>
                <w:szCs w:val="21"/>
              </w:rPr>
              <w:t>报告期期初基金份额总额</w:t>
            </w:r>
          </w:p>
        </w:tc>
        <w:tc>
          <w:tcPr>
            <w:tcW w:w="1603" w:type="pct"/>
            <w:vAlign w:val="center"/>
          </w:tcPr>
          <w:p>
            <w:pPr>
              <w:adjustRightInd w:val="0"/>
              <w:snapToGrid w:val="0"/>
              <w:jc w:val="right"/>
              <w:rPr>
                <w:rFonts w:ascii="宋体" w:hAnsi="宋体"/>
                <w:kern w:val="0"/>
                <w:szCs w:val="21"/>
              </w:rPr>
            </w:pPr>
            <w:r>
              <w:rPr>
                <w:rFonts w:ascii="宋体" w:hAnsi="宋体"/>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3397" w:type="pct"/>
            <w:vAlign w:val="center"/>
          </w:tcPr>
          <w:p>
            <w:pPr>
              <w:adjustRightInd w:val="0"/>
              <w:snapToGrid w:val="0"/>
              <w:rPr>
                <w:rFonts w:ascii="宋体" w:hAnsi="宋体"/>
                <w:szCs w:val="21"/>
              </w:rPr>
            </w:pPr>
            <w:r>
              <w:rPr>
                <w:rFonts w:hint="eastAsia" w:ascii="宋体" w:hAnsi="宋体"/>
                <w:szCs w:val="21"/>
              </w:rPr>
              <w:t>报告期期间基金总申购份额</w:t>
            </w:r>
          </w:p>
        </w:tc>
        <w:tc>
          <w:tcPr>
            <w:tcW w:w="1603" w:type="pct"/>
            <w:vAlign w:val="center"/>
          </w:tcPr>
          <w:p>
            <w:pPr>
              <w:adjustRightInd w:val="0"/>
              <w:snapToGrid w:val="0"/>
              <w:jc w:val="right"/>
              <w:rPr>
                <w:rFonts w:ascii="宋体" w:hAnsi="宋体"/>
                <w:kern w:val="0"/>
                <w:szCs w:val="21"/>
              </w:rPr>
            </w:pPr>
            <w:r>
              <w:rPr>
                <w:rFonts w:ascii="宋体" w:hAnsi="宋体"/>
                <w:kern w:val="0"/>
                <w:szCs w:val="21"/>
              </w:rPr>
              <w:t>18,916.766229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3397" w:type="pct"/>
            <w:vAlign w:val="center"/>
          </w:tcPr>
          <w:p>
            <w:pPr>
              <w:adjustRightInd w:val="0"/>
              <w:snapToGrid w:val="0"/>
              <w:rPr>
                <w:rFonts w:ascii="宋体" w:hAnsi="宋体"/>
                <w:szCs w:val="21"/>
              </w:rPr>
            </w:pPr>
            <w:r>
              <w:rPr>
                <w:rFonts w:hint="eastAsia" w:ascii="宋体" w:hAnsi="宋体"/>
                <w:szCs w:val="21"/>
              </w:rPr>
              <w:t>减：报告期期间基金总赎回份额</w:t>
            </w:r>
          </w:p>
        </w:tc>
        <w:tc>
          <w:tcPr>
            <w:tcW w:w="1603" w:type="pct"/>
            <w:vAlign w:val="center"/>
          </w:tcPr>
          <w:p>
            <w:pPr>
              <w:adjustRightInd w:val="0"/>
              <w:snapToGrid w:val="0"/>
              <w:jc w:val="right"/>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3397" w:type="pct"/>
            <w:vAlign w:val="center"/>
          </w:tcPr>
          <w:p>
            <w:pPr>
              <w:adjustRightInd w:val="0"/>
              <w:snapToGrid w:val="0"/>
              <w:rPr>
                <w:rFonts w:ascii="宋体" w:hAnsi="宋体"/>
                <w:szCs w:val="21"/>
              </w:rPr>
            </w:pPr>
            <w:r>
              <w:rPr>
                <w:rFonts w:hint="eastAsia" w:ascii="宋体" w:hAnsi="宋体"/>
                <w:szCs w:val="21"/>
              </w:rPr>
              <w:t>报告期期间基金拆分变动份额（份额减少以“-”填列）</w:t>
            </w:r>
          </w:p>
        </w:tc>
        <w:tc>
          <w:tcPr>
            <w:tcW w:w="1603" w:type="pct"/>
            <w:vAlign w:val="center"/>
          </w:tcPr>
          <w:p>
            <w:pPr>
              <w:adjustRightInd w:val="0"/>
              <w:snapToGrid w:val="0"/>
              <w:jc w:val="right"/>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3397" w:type="pct"/>
            <w:vAlign w:val="center"/>
          </w:tcPr>
          <w:p>
            <w:pPr>
              <w:adjustRightInd w:val="0"/>
              <w:snapToGrid w:val="0"/>
              <w:rPr>
                <w:rFonts w:ascii="宋体" w:hAnsi="宋体"/>
                <w:szCs w:val="21"/>
              </w:rPr>
            </w:pPr>
            <w:r>
              <w:rPr>
                <w:rFonts w:hint="eastAsia" w:ascii="宋体" w:hAnsi="宋体"/>
                <w:szCs w:val="21"/>
              </w:rPr>
              <w:t>期末基金总份额（万份）/期末基金实缴总额（万元）</w:t>
            </w:r>
          </w:p>
        </w:tc>
        <w:tc>
          <w:tcPr>
            <w:tcW w:w="1603" w:type="pct"/>
            <w:vAlign w:val="center"/>
          </w:tcPr>
          <w:p>
            <w:pPr>
              <w:adjustRightInd w:val="0"/>
              <w:snapToGrid w:val="0"/>
              <w:jc w:val="right"/>
              <w:rPr>
                <w:rFonts w:ascii="宋体" w:hAnsi="宋体"/>
                <w:kern w:val="0"/>
                <w:szCs w:val="21"/>
              </w:rPr>
            </w:pPr>
            <w:r>
              <w:rPr>
                <w:rFonts w:ascii="宋体" w:hAnsi="宋体"/>
                <w:kern w:val="0"/>
                <w:szCs w:val="21"/>
              </w:rPr>
              <w:t>19,916.766229</w:t>
            </w:r>
          </w:p>
        </w:tc>
      </w:tr>
    </w:tbl>
    <w:p>
      <w:pPr>
        <w:rPr>
          <w:rFonts w:ascii="宋体" w:hAnsi="宋体"/>
        </w:rPr>
      </w:pPr>
    </w:p>
    <w:p>
      <w:pPr>
        <w:pStyle w:val="2"/>
        <w:numPr>
          <w:ilvl w:val="0"/>
          <w:numId w:val="1"/>
        </w:numPr>
        <w:rPr>
          <w:rFonts w:ascii="宋体" w:hAnsi="宋体"/>
          <w:b w:val="0"/>
          <w:szCs w:val="21"/>
        </w:rPr>
      </w:pPr>
      <w:r>
        <w:rPr>
          <w:rFonts w:hint="eastAsia" w:ascii="宋体" w:hAnsi="宋体"/>
          <w:szCs w:val="21"/>
        </w:rPr>
        <w:t>管理人说明的其他情况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ind w:firstLine="0" w:firstLineChars="0"/>
              <w:rPr>
                <w:rFonts w:hint="eastAsia" w:ascii="宋体" w:hAnsi="宋体" w:cs="宋体"/>
              </w:rPr>
            </w:pPr>
            <w:r>
              <w:rPr>
                <w:rFonts w:hint="eastAsia" w:ascii="宋体" w:hAnsi="宋体" w:cs="宋体"/>
                <w:lang w:val="en-US" w:eastAsia="zh-CN"/>
              </w:rPr>
              <w:t>4</w:t>
            </w:r>
            <w:r>
              <w:rPr>
                <w:rFonts w:hint="eastAsia" w:ascii="宋体" w:hAnsi="宋体" w:cs="宋体"/>
              </w:rPr>
              <w:t>.1 报告期内基金投资决策依据和业绩表现</w:t>
            </w:r>
            <w:r>
              <w:rPr>
                <w:rFonts w:hint="eastAsia" w:ascii="宋体" w:hAnsi="宋体" w:cs="宋体"/>
              </w:rPr>
              <w:br w:type="textWrapping"/>
            </w:r>
            <w:r>
              <w:rPr>
                <w:rFonts w:hint="eastAsia" w:ascii="宋体" w:hAnsi="宋体" w:cs="宋体"/>
                <w:lang w:val="en-US" w:eastAsia="zh-CN"/>
              </w:rPr>
              <w:t xml:space="preserve">   </w:t>
            </w:r>
            <w:r>
              <w:rPr>
                <w:rFonts w:hint="eastAsia" w:ascii="宋体" w:hAnsi="宋体" w:cs="宋体"/>
              </w:rPr>
              <w:t>本计划投资决策依据：本计划整体为固收策略，选择合适的银行间及交易所债券，以债券配置策略为主。截止2023年</w:t>
            </w:r>
            <w:r>
              <w:rPr>
                <w:rFonts w:hint="eastAsia" w:ascii="宋体" w:hAnsi="宋体" w:cs="宋体"/>
                <w:lang w:val="en-US" w:eastAsia="zh-CN"/>
              </w:rPr>
              <w:t>12</w:t>
            </w:r>
            <w:r>
              <w:rPr>
                <w:rFonts w:hint="eastAsia" w:ascii="宋体" w:hAnsi="宋体" w:cs="宋体"/>
              </w:rPr>
              <w:t>月3</w:t>
            </w:r>
            <w:r>
              <w:rPr>
                <w:rFonts w:hint="eastAsia" w:ascii="宋体" w:hAnsi="宋体" w:cs="宋体"/>
                <w:lang w:val="en-US" w:eastAsia="zh-CN"/>
              </w:rPr>
              <w:t>1</w:t>
            </w:r>
            <w:r>
              <w:rPr>
                <w:rFonts w:hint="eastAsia" w:ascii="宋体" w:hAnsi="宋体" w:cs="宋体"/>
              </w:rPr>
              <w:t>日本基金期末基金单位净值为1.0</w:t>
            </w:r>
            <w:r>
              <w:rPr>
                <w:rFonts w:hint="eastAsia" w:ascii="宋体" w:hAnsi="宋体" w:cs="宋体"/>
                <w:lang w:val="en-US" w:eastAsia="zh-CN"/>
              </w:rPr>
              <w:t>212</w:t>
            </w:r>
            <w:r>
              <w:rPr>
                <w:rFonts w:hint="eastAsia" w:ascii="宋体" w:hAnsi="宋体" w:cs="宋体"/>
              </w:rPr>
              <w:t>元，期末基金累计单位净值1.0</w:t>
            </w:r>
            <w:r>
              <w:rPr>
                <w:rFonts w:hint="eastAsia" w:ascii="宋体" w:hAnsi="宋体" w:cs="宋体"/>
                <w:lang w:val="en-US" w:eastAsia="zh-CN"/>
              </w:rPr>
              <w:t>212</w:t>
            </w:r>
            <w:r>
              <w:rPr>
                <w:rFonts w:hint="eastAsia" w:ascii="宋体" w:hAnsi="宋体" w:cs="宋体"/>
              </w:rPr>
              <w:t>元。</w:t>
            </w:r>
            <w:r>
              <w:rPr>
                <w:rFonts w:hint="eastAsia" w:ascii="宋体" w:hAnsi="宋体" w:cs="宋体"/>
              </w:rPr>
              <w:br w:type="textWrapping"/>
            </w:r>
            <w:r>
              <w:rPr>
                <w:rFonts w:hint="eastAsia" w:ascii="宋体" w:hAnsi="宋体" w:cs="宋体"/>
                <w:lang w:val="en-US" w:eastAsia="zh-CN"/>
              </w:rPr>
              <w:t>4</w:t>
            </w:r>
            <w:r>
              <w:rPr>
                <w:rFonts w:hint="eastAsia" w:ascii="宋体" w:hAnsi="宋体" w:cs="宋体"/>
              </w:rPr>
              <w:t>.2 投资经理</w:t>
            </w:r>
            <w:r>
              <w:rPr>
                <w:rFonts w:hint="eastAsia" w:ascii="宋体" w:hAnsi="宋体" w:cs="宋体"/>
              </w:rPr>
              <w:br w:type="textWrapping"/>
            </w:r>
            <w:r>
              <w:rPr>
                <w:rFonts w:hint="eastAsia" w:ascii="宋体" w:hAnsi="宋体" w:cs="宋体"/>
                <w:lang w:val="en-US" w:eastAsia="zh-CN"/>
              </w:rPr>
              <w:t xml:space="preserve">   </w:t>
            </w:r>
            <w:r>
              <w:rPr>
                <w:rFonts w:hint="eastAsia" w:ascii="宋体" w:hAnsi="宋体" w:cs="宋体"/>
              </w:rPr>
              <w:t>本计划投资经理廉正，期货从业资格编码：F3054039，本计划本报告期内未发生变更。</w:t>
            </w:r>
            <w:r>
              <w:rPr>
                <w:rFonts w:hint="eastAsia" w:ascii="宋体" w:hAnsi="宋体" w:cs="宋体"/>
              </w:rPr>
              <w:br w:type="textWrapping"/>
            </w:r>
            <w:r>
              <w:rPr>
                <w:rFonts w:hint="eastAsia" w:ascii="宋体" w:hAnsi="宋体" w:cs="宋体"/>
                <w:lang w:val="en-US" w:eastAsia="zh-CN"/>
              </w:rPr>
              <w:t xml:space="preserve">   </w:t>
            </w:r>
            <w:r>
              <w:rPr>
                <w:rFonts w:hint="eastAsia" w:ascii="宋体" w:hAnsi="宋体" w:cs="宋体"/>
              </w:rPr>
              <w:t>投资经理从业经验：产业经济学硕士，现任兴证期货资产管理部总经理兼投资经理。2011年至2015年9月历任新湖期货有限公司研究所资深分析师、资产管理部投资经理、部门副经理；2015年9月至2018年11月任西南期货有限公司资产管理部总经理兼投资经理；2018年11月加盟兴证期货资产管理部。长期从事宏观经济、商品及大类资产配置研究和投资工作。</w:t>
            </w:r>
            <w:r>
              <w:rPr>
                <w:rFonts w:hint="eastAsia" w:ascii="宋体" w:hAnsi="宋体" w:cs="宋体"/>
              </w:rPr>
              <w:br w:type="textWrapping"/>
            </w:r>
            <w:r>
              <w:rPr>
                <w:rFonts w:hint="eastAsia" w:ascii="宋体" w:hAnsi="宋体" w:cs="宋体"/>
                <w:lang w:val="en-US" w:eastAsia="zh-CN"/>
              </w:rPr>
              <w:t xml:space="preserve">   </w:t>
            </w:r>
            <w:r>
              <w:rPr>
                <w:rFonts w:hint="eastAsia" w:ascii="宋体" w:hAnsi="宋体" w:cs="宋体"/>
              </w:rPr>
              <w:t>本计划投资经理邢敏，期货从业资格编码：F03087819，本计划本报告期内未发生变更。</w:t>
            </w:r>
            <w:r>
              <w:rPr>
                <w:rFonts w:hint="eastAsia" w:ascii="宋体" w:hAnsi="宋体" w:cs="宋体"/>
              </w:rPr>
              <w:br w:type="textWrapping"/>
            </w:r>
            <w:r>
              <w:rPr>
                <w:rFonts w:hint="eastAsia" w:ascii="宋体" w:hAnsi="宋体" w:cs="宋体"/>
                <w:lang w:val="en-US" w:eastAsia="zh-CN"/>
              </w:rPr>
              <w:t xml:space="preserve">   </w:t>
            </w:r>
            <w:r>
              <w:rPr>
                <w:rFonts w:hint="eastAsia" w:ascii="宋体" w:hAnsi="宋体" w:cs="宋体"/>
              </w:rPr>
              <w:t>投资经理从业经验：材料物理学与金融学双学士，现任兴证期货资产管理部投资经理。有六年的债券固收投资交易经验，2017年7月至2021年6月在私募公司任交易部副总经理、投资经理，2021年7月加入兴证期货资管部。</w:t>
            </w:r>
            <w:r>
              <w:rPr>
                <w:rFonts w:hint="eastAsia" w:ascii="宋体" w:hAnsi="宋体" w:cs="宋体"/>
              </w:rPr>
              <w:br w:type="textWrapping"/>
            </w:r>
            <w:r>
              <w:rPr>
                <w:rFonts w:hint="eastAsia" w:ascii="宋体" w:hAnsi="宋体" w:cs="宋体"/>
                <w:lang w:val="en-US" w:eastAsia="zh-CN"/>
              </w:rPr>
              <w:t xml:space="preserve">   </w:t>
            </w:r>
            <w:r>
              <w:rPr>
                <w:rFonts w:hint="eastAsia" w:ascii="宋体" w:hAnsi="宋体" w:cs="宋体"/>
              </w:rPr>
              <w:t>本计划投资经理符合法律法规规定的以下条件：</w:t>
            </w:r>
            <w:r>
              <w:rPr>
                <w:rFonts w:hint="eastAsia" w:ascii="宋体" w:hAnsi="宋体" w:cs="宋体"/>
              </w:rPr>
              <w:br w:type="textWrapping"/>
            </w:r>
            <w:r>
              <w:rPr>
                <w:rFonts w:hint="eastAsia" w:ascii="宋体" w:hAnsi="宋体" w:cs="宋体"/>
                <w:lang w:val="en-US" w:eastAsia="zh-CN"/>
              </w:rPr>
              <w:t xml:space="preserve">  </w:t>
            </w:r>
            <w:r>
              <w:rPr>
                <w:rFonts w:hint="eastAsia" w:ascii="宋体" w:hAnsi="宋体" w:cs="宋体"/>
              </w:rPr>
              <w:t>（1）已取得从业资格；</w:t>
            </w:r>
            <w:r>
              <w:rPr>
                <w:rFonts w:hint="eastAsia" w:ascii="宋体" w:hAnsi="宋体" w:cs="宋体"/>
              </w:rPr>
              <w:br w:type="textWrapping"/>
            </w:r>
            <w:r>
              <w:rPr>
                <w:rFonts w:hint="eastAsia" w:ascii="宋体" w:hAnsi="宋体" w:cs="宋体"/>
                <w:lang w:val="en-US" w:eastAsia="zh-CN"/>
              </w:rPr>
              <w:t xml:space="preserve">  </w:t>
            </w:r>
            <w:r>
              <w:rPr>
                <w:rFonts w:hint="eastAsia" w:ascii="宋体" w:hAnsi="宋体" w:cs="宋体"/>
              </w:rPr>
              <w:t>（2）具有3年以上投资管理、投资研究、投资咨询等相关业务经验；</w:t>
            </w:r>
            <w:r>
              <w:rPr>
                <w:rFonts w:hint="eastAsia" w:ascii="宋体" w:hAnsi="宋体" w:cs="宋体"/>
              </w:rPr>
              <w:br w:type="textWrapping"/>
            </w:r>
            <w:r>
              <w:rPr>
                <w:rFonts w:hint="eastAsia" w:ascii="宋体" w:hAnsi="宋体" w:cs="宋体"/>
                <w:lang w:val="en-US" w:eastAsia="zh-CN"/>
              </w:rPr>
              <w:t xml:space="preserve">  </w:t>
            </w:r>
            <w:r>
              <w:rPr>
                <w:rFonts w:hint="eastAsia" w:ascii="宋体" w:hAnsi="宋体" w:cs="宋体"/>
              </w:rPr>
              <w:t>（3）具有良好的诚信记录及职业操守，且最近3年未被监管机构采取重大行政监管措施、行政处罚。</w:t>
            </w:r>
            <w:r>
              <w:rPr>
                <w:rFonts w:hint="eastAsia" w:ascii="宋体" w:hAnsi="宋体" w:cs="宋体"/>
              </w:rPr>
              <w:br w:type="textWrapping"/>
            </w:r>
            <w:r>
              <w:rPr>
                <w:rFonts w:hint="eastAsia" w:ascii="宋体" w:hAnsi="宋体" w:cs="宋体"/>
                <w:lang w:val="en-US" w:eastAsia="zh-CN"/>
              </w:rPr>
              <w:t>4</w:t>
            </w:r>
            <w:r>
              <w:rPr>
                <w:rFonts w:hint="eastAsia" w:ascii="宋体" w:hAnsi="宋体" w:cs="宋体"/>
              </w:rPr>
              <w:t>.3 报告期内基金估值程序</w:t>
            </w:r>
            <w:r>
              <w:rPr>
                <w:rFonts w:hint="eastAsia" w:ascii="宋体" w:hAnsi="宋体" w:cs="宋体"/>
              </w:rPr>
              <w:br w:type="textWrapping"/>
            </w:r>
            <w:r>
              <w:rPr>
                <w:rFonts w:hint="eastAsia" w:ascii="宋体" w:hAnsi="宋体" w:cs="宋体"/>
              </w:rPr>
              <w:t xml:space="preserve">   根据监管相关规定及基金合同约定，本计划管理人严格按照监管相关规定和基金合同关于估值的约定，对基金所持有的投资品种进行估值。本计划托管人根据法律法规要求履行估值及净值计算的复核责任。本报告期内，参与估值流程各方之间无重大利益冲突。</w:t>
            </w:r>
            <w:r>
              <w:rPr>
                <w:rFonts w:hint="eastAsia" w:ascii="宋体" w:hAnsi="宋体" w:cs="宋体"/>
              </w:rPr>
              <w:br w:type="textWrapping"/>
            </w:r>
            <w:r>
              <w:rPr>
                <w:rFonts w:hint="eastAsia" w:ascii="宋体" w:hAnsi="宋体" w:cs="宋体"/>
                <w:lang w:val="en-US" w:eastAsia="zh-CN"/>
              </w:rPr>
              <w:t>4</w:t>
            </w:r>
            <w:r>
              <w:rPr>
                <w:rFonts w:hint="eastAsia" w:ascii="宋体" w:hAnsi="宋体" w:cs="宋体"/>
              </w:rPr>
              <w:t>.4 报告期内管理人履职情况</w:t>
            </w:r>
            <w:r>
              <w:rPr>
                <w:rFonts w:hint="eastAsia" w:ascii="宋体" w:hAnsi="宋体" w:cs="宋体"/>
              </w:rPr>
              <w:br w:type="textWrapping"/>
            </w:r>
            <w:r>
              <w:rPr>
                <w:rFonts w:hint="eastAsia" w:ascii="宋体" w:hAnsi="宋体" w:cs="宋体"/>
                <w:lang w:val="en-US" w:eastAsia="zh-CN"/>
              </w:rPr>
              <w:t xml:space="preserve">   </w:t>
            </w:r>
            <w:r>
              <w:rPr>
                <w:rFonts w:hint="eastAsia" w:ascii="宋体" w:hAnsi="宋体" w:cs="宋体"/>
              </w:rPr>
              <w:t>公司在资产管理业务经营过程中，将严格遵守以下管理人的职责：</w:t>
            </w:r>
          </w:p>
          <w:p>
            <w:pPr>
              <w:numPr>
                <w:ilvl w:val="0"/>
                <w:numId w:val="4"/>
              </w:numPr>
              <w:ind w:firstLine="210" w:firstLineChars="100"/>
              <w:rPr>
                <w:rFonts w:hint="eastAsia" w:ascii="宋体" w:hAnsi="宋体" w:cs="宋体"/>
              </w:rPr>
            </w:pPr>
            <w:r>
              <w:rPr>
                <w:rFonts w:hint="eastAsia" w:ascii="宋体" w:hAnsi="宋体" w:cs="宋体"/>
              </w:rPr>
              <w:t>依法办理资产管理计划的销售、登记、备案事宜；</w:t>
            </w:r>
          </w:p>
          <w:p>
            <w:pPr>
              <w:numPr>
                <w:ilvl w:val="0"/>
                <w:numId w:val="4"/>
              </w:numPr>
              <w:ind w:firstLine="210" w:firstLineChars="100"/>
              <w:rPr>
                <w:rFonts w:hint="eastAsia" w:ascii="宋体" w:hAnsi="宋体" w:cs="宋体"/>
              </w:rPr>
            </w:pPr>
            <w:r>
              <w:rPr>
                <w:rFonts w:hint="eastAsia" w:ascii="宋体" w:hAnsi="宋体" w:cs="宋体"/>
              </w:rPr>
              <w:t>对所管理的不同资产管理计划的受托财产分别管理、分别记账，进行投资；</w:t>
            </w:r>
          </w:p>
          <w:p>
            <w:pPr>
              <w:numPr>
                <w:ilvl w:val="0"/>
                <w:numId w:val="4"/>
              </w:numPr>
              <w:ind w:firstLine="210" w:firstLineChars="100"/>
              <w:rPr>
                <w:rFonts w:hint="eastAsia" w:ascii="宋体" w:hAnsi="宋体" w:cs="宋体"/>
              </w:rPr>
            </w:pPr>
            <w:r>
              <w:rPr>
                <w:rFonts w:hint="eastAsia" w:ascii="宋体" w:hAnsi="宋体" w:cs="宋体"/>
              </w:rPr>
              <w:t>按照资产管理合同的约定确定收益分配方案，及时向投资者分配收益；</w:t>
            </w:r>
          </w:p>
          <w:p>
            <w:pPr>
              <w:numPr>
                <w:ilvl w:val="0"/>
                <w:numId w:val="4"/>
              </w:numPr>
              <w:ind w:firstLine="210" w:firstLineChars="100"/>
              <w:rPr>
                <w:rFonts w:hint="eastAsia" w:ascii="宋体" w:hAnsi="宋体" w:cs="宋体"/>
                <w:lang w:eastAsia="zh-CN"/>
              </w:rPr>
            </w:pPr>
            <w:r>
              <w:rPr>
                <w:rFonts w:hint="eastAsia" w:ascii="宋体" w:hAnsi="宋体" w:cs="宋体"/>
              </w:rPr>
              <w:t>进行资产管理计划会计核算并编制资产管理计划财务会计报告</w:t>
            </w:r>
            <w:r>
              <w:rPr>
                <w:rFonts w:hint="eastAsia" w:ascii="宋体" w:hAnsi="宋体" w:cs="宋体"/>
                <w:lang w:eastAsia="zh-CN"/>
              </w:rPr>
              <w:t>；</w:t>
            </w:r>
          </w:p>
          <w:p>
            <w:pPr>
              <w:numPr>
                <w:ilvl w:val="-1"/>
                <w:numId w:val="0"/>
              </w:numPr>
              <w:ind w:firstLine="210" w:firstLineChars="100"/>
              <w:rPr>
                <w:rFonts w:hint="eastAsia" w:ascii="宋体" w:hAnsi="宋体" w:cs="宋体"/>
              </w:rPr>
            </w:pPr>
            <w:r>
              <w:rPr>
                <w:rFonts w:hint="eastAsia" w:ascii="宋体" w:hAnsi="宋体" w:cs="宋体"/>
              </w:rPr>
              <w:t>（</w:t>
            </w:r>
            <w:r>
              <w:rPr>
                <w:rFonts w:hint="eastAsia" w:ascii="宋体" w:hAnsi="宋体" w:cs="宋体"/>
                <w:lang w:val="en-US" w:eastAsia="zh-CN"/>
              </w:rPr>
              <w:t>5</w:t>
            </w:r>
            <w:r>
              <w:rPr>
                <w:rFonts w:hint="eastAsia" w:ascii="宋体" w:hAnsi="宋体" w:cs="宋体"/>
              </w:rPr>
              <w:t>）依法计算并披露资产管理计划净值，确定参与、退出价格；</w:t>
            </w:r>
          </w:p>
          <w:p>
            <w:pPr>
              <w:numPr>
                <w:ilvl w:val="-1"/>
                <w:numId w:val="0"/>
              </w:numPr>
              <w:ind w:firstLine="210" w:firstLineChars="100"/>
              <w:rPr>
                <w:rFonts w:hint="eastAsia" w:ascii="宋体" w:hAnsi="宋体" w:cs="宋体"/>
              </w:rPr>
            </w:pPr>
            <w:r>
              <w:rPr>
                <w:rFonts w:hint="eastAsia" w:ascii="宋体" w:hAnsi="宋体" w:cs="宋体"/>
              </w:rPr>
              <w:t>（</w:t>
            </w:r>
            <w:r>
              <w:rPr>
                <w:rFonts w:hint="eastAsia" w:ascii="宋体" w:hAnsi="宋体" w:cs="宋体"/>
                <w:lang w:val="en-US" w:eastAsia="zh-CN"/>
              </w:rPr>
              <w:t>6</w:t>
            </w:r>
            <w:r>
              <w:rPr>
                <w:rFonts w:hint="eastAsia" w:ascii="宋体" w:hAnsi="宋体" w:cs="宋体"/>
              </w:rPr>
              <w:t>）办理与受托财产管理业务活动有关的信息披露事项；</w:t>
            </w:r>
          </w:p>
          <w:p>
            <w:pPr>
              <w:numPr>
                <w:ilvl w:val="-1"/>
                <w:numId w:val="0"/>
              </w:numPr>
              <w:ind w:firstLine="210" w:firstLineChars="100"/>
              <w:rPr>
                <w:rFonts w:hint="eastAsia" w:ascii="宋体" w:hAnsi="宋体" w:cs="宋体"/>
              </w:rPr>
            </w:pPr>
            <w:r>
              <w:rPr>
                <w:rFonts w:hint="eastAsia" w:ascii="宋体" w:hAnsi="宋体" w:cs="宋体"/>
              </w:rPr>
              <w:t>（</w:t>
            </w:r>
            <w:r>
              <w:rPr>
                <w:rFonts w:hint="eastAsia" w:ascii="宋体" w:hAnsi="宋体" w:cs="宋体"/>
                <w:lang w:val="en-US" w:eastAsia="zh-CN"/>
              </w:rPr>
              <w:t>7</w:t>
            </w:r>
            <w:r>
              <w:rPr>
                <w:rFonts w:hint="eastAsia" w:ascii="宋体" w:hAnsi="宋体" w:cs="宋体"/>
              </w:rPr>
              <w:t>）保存受托财产管理业务活动的记录、账册、报表和其他相关资料；</w:t>
            </w:r>
          </w:p>
          <w:p>
            <w:pPr>
              <w:numPr>
                <w:ilvl w:val="-1"/>
                <w:numId w:val="0"/>
              </w:numPr>
              <w:ind w:firstLine="210" w:firstLineChars="100"/>
              <w:rPr>
                <w:rFonts w:hint="eastAsia" w:ascii="宋体" w:hAnsi="宋体" w:cs="宋体"/>
              </w:rPr>
            </w:pPr>
            <w:r>
              <w:rPr>
                <w:rFonts w:hint="eastAsia" w:ascii="宋体" w:hAnsi="宋体" w:cs="宋体"/>
              </w:rPr>
              <w:t>（</w:t>
            </w:r>
            <w:r>
              <w:rPr>
                <w:rFonts w:hint="eastAsia" w:ascii="宋体" w:hAnsi="宋体" w:cs="宋体"/>
                <w:lang w:val="en-US" w:eastAsia="zh-CN"/>
              </w:rPr>
              <w:t>8</w:t>
            </w:r>
            <w:r>
              <w:rPr>
                <w:rFonts w:hint="eastAsia" w:ascii="宋体" w:hAnsi="宋体" w:cs="宋体"/>
              </w:rPr>
              <w:t>）以管理人名义，代表投资者利益行使诉讼权利或者实施其他法律行为；</w:t>
            </w:r>
          </w:p>
          <w:p>
            <w:pPr>
              <w:numPr>
                <w:ilvl w:val="-1"/>
                <w:numId w:val="0"/>
              </w:numPr>
              <w:ind w:firstLine="210" w:firstLineChars="100"/>
              <w:rPr>
                <w:rFonts w:hint="eastAsia" w:ascii="宋体" w:hAnsi="宋体" w:cs="宋体"/>
                <w:b w:val="0"/>
                <w:bCs w:val="0"/>
                <w:kern w:val="2"/>
                <w:sz w:val="21"/>
                <w:szCs w:val="21"/>
                <w:lang w:val="en-US" w:eastAsia="zh-CN" w:bidi="ar"/>
              </w:rPr>
            </w:pPr>
            <w:r>
              <w:rPr>
                <w:rFonts w:hint="eastAsia" w:ascii="宋体" w:hAnsi="宋体" w:cs="宋体"/>
                <w:b w:val="0"/>
                <w:bCs w:val="0"/>
                <w:kern w:val="2"/>
                <w:sz w:val="21"/>
                <w:szCs w:val="21"/>
                <w:lang w:val="en-US" w:eastAsia="zh-CN" w:bidi="ar"/>
              </w:rPr>
              <w:t>（9）保证向投资者支付的受托资金及收益返回其参与资产管理计划时使用的结算账户或其同名账户；</w:t>
            </w:r>
          </w:p>
          <w:p>
            <w:pPr>
              <w:numPr>
                <w:ilvl w:val="-1"/>
                <w:numId w:val="0"/>
              </w:numPr>
              <w:ind w:firstLine="210" w:firstLineChars="100"/>
              <w:jc w:val="left"/>
              <w:rPr>
                <w:rFonts w:ascii="宋体" w:hAnsi="宋体"/>
              </w:rPr>
            </w:pPr>
            <w:r>
              <w:rPr>
                <w:rFonts w:hint="eastAsia" w:ascii="宋体" w:hAnsi="宋体" w:cs="宋体"/>
              </w:rPr>
              <w:t>（</w:t>
            </w:r>
            <w:r>
              <w:rPr>
                <w:rFonts w:hint="eastAsia" w:ascii="宋体" w:hAnsi="宋体" w:cs="宋体"/>
                <w:lang w:val="en-US" w:eastAsia="zh-CN"/>
              </w:rPr>
              <w:t>10</w:t>
            </w:r>
            <w:r>
              <w:rPr>
                <w:rFonts w:hint="eastAsia" w:ascii="宋体" w:hAnsi="宋体" w:cs="宋体"/>
              </w:rPr>
              <w:t>）法律、行政法规和中国证监会规定的其他职责。</w:t>
            </w:r>
            <w:r>
              <w:rPr>
                <w:rFonts w:hint="eastAsia" w:ascii="宋体" w:hAnsi="宋体" w:cs="宋体"/>
              </w:rPr>
              <w:br w:type="textWrapping"/>
            </w:r>
            <w:r>
              <w:rPr>
                <w:rFonts w:hint="eastAsia" w:ascii="宋体" w:hAnsi="宋体" w:cs="宋体"/>
                <w:lang w:val="en-US" w:eastAsia="zh-CN"/>
              </w:rPr>
              <w:t>4</w:t>
            </w:r>
            <w:r>
              <w:rPr>
                <w:rFonts w:hint="eastAsia" w:ascii="宋体" w:hAnsi="宋体" w:cs="宋体"/>
              </w:rPr>
              <w:t>.5 文件存放地点</w:t>
            </w:r>
            <w:r>
              <w:rPr>
                <w:rFonts w:hint="eastAsia" w:ascii="宋体" w:hAnsi="宋体" w:cs="宋体"/>
              </w:rPr>
              <w:br w:type="textWrapping"/>
            </w:r>
            <w:r>
              <w:rPr>
                <w:rFonts w:hint="eastAsia" w:ascii="宋体" w:hAnsi="宋体" w:cs="宋体"/>
                <w:lang w:val="en-US" w:eastAsia="zh-CN"/>
              </w:rPr>
              <w:t xml:space="preserve">   </w:t>
            </w:r>
            <w:r>
              <w:rPr>
                <w:rFonts w:hint="eastAsia" w:ascii="宋体" w:hAnsi="宋体" w:cs="宋体"/>
              </w:rPr>
              <w:t>兴证期货有限公司</w:t>
            </w:r>
            <w:r>
              <w:rPr>
                <w:rFonts w:hint="eastAsia" w:ascii="宋体" w:hAnsi="宋体" w:cs="宋体"/>
              </w:rPr>
              <w:br w:type="textWrapping"/>
            </w:r>
            <w:r>
              <w:rPr>
                <w:rFonts w:hint="eastAsia" w:ascii="宋体" w:hAnsi="宋体" w:cs="宋体"/>
                <w:lang w:val="en-US" w:eastAsia="zh-CN"/>
              </w:rPr>
              <w:t xml:space="preserve">   </w:t>
            </w:r>
            <w:r>
              <w:rPr>
                <w:rFonts w:hint="eastAsia" w:ascii="宋体" w:hAnsi="宋体" w:cs="宋体"/>
              </w:rPr>
              <w:t>地址：上海市浦东新区长柳路36号兴业证券大厦8楼</w:t>
            </w:r>
            <w:r>
              <w:rPr>
                <w:rFonts w:hint="eastAsia" w:ascii="宋体" w:hAnsi="宋体" w:cs="宋体"/>
              </w:rPr>
              <w:br w:type="textWrapping"/>
            </w:r>
            <w:r>
              <w:rPr>
                <w:rFonts w:hint="eastAsia" w:ascii="宋体" w:hAnsi="宋体" w:cs="宋体"/>
                <w:lang w:val="en-US" w:eastAsia="zh-CN"/>
              </w:rPr>
              <w:t xml:space="preserve">   </w:t>
            </w:r>
            <w:r>
              <w:rPr>
                <w:rFonts w:hint="eastAsia" w:ascii="宋体" w:hAnsi="宋体" w:cs="宋体"/>
              </w:rPr>
              <w:t>联 系 人：</w:t>
            </w:r>
            <w:r>
              <w:rPr>
                <w:rFonts w:hint="eastAsia" w:ascii="宋体" w:hAnsi="宋体" w:cs="宋体"/>
                <w:szCs w:val="21"/>
                <w:lang w:val="en-US" w:eastAsia="zh-CN"/>
              </w:rPr>
              <w:t>孙雯</w:t>
            </w:r>
            <w:r>
              <w:rPr>
                <w:rFonts w:hint="eastAsia" w:ascii="宋体" w:hAnsi="宋体" w:cs="宋体"/>
              </w:rPr>
              <w:br w:type="textWrapping"/>
            </w:r>
            <w:r>
              <w:rPr>
                <w:rFonts w:hint="eastAsia" w:ascii="宋体" w:hAnsi="宋体" w:cs="宋体"/>
                <w:lang w:val="en-US" w:eastAsia="zh-CN"/>
              </w:rPr>
              <w:t xml:space="preserve">   </w:t>
            </w:r>
            <w:r>
              <w:rPr>
                <w:rFonts w:hint="eastAsia" w:ascii="宋体" w:hAnsi="宋体" w:cs="宋体"/>
              </w:rPr>
              <w:t>服务电话：</w:t>
            </w:r>
            <w:r>
              <w:rPr>
                <w:rFonts w:hint="eastAsia" w:ascii="宋体" w:hAnsi="宋体" w:cs="宋体"/>
                <w:szCs w:val="21"/>
              </w:rPr>
              <w:t>021-2037095</w:t>
            </w:r>
            <w:r>
              <w:rPr>
                <w:rFonts w:hint="eastAsia" w:ascii="宋体" w:hAnsi="宋体" w:cs="宋体"/>
                <w:szCs w:val="21"/>
                <w:lang w:val="en-US" w:eastAsia="zh-CN"/>
              </w:rPr>
              <w:t>2</w:t>
            </w:r>
            <w:r>
              <w:rPr>
                <w:rFonts w:hint="eastAsia" w:ascii="宋体" w:hAnsi="宋体" w:cs="宋体"/>
              </w:rPr>
              <w:br w:type="textWrapping"/>
            </w:r>
            <w:r>
              <w:rPr>
                <w:rFonts w:hint="eastAsia" w:ascii="宋体" w:hAnsi="宋体" w:cs="宋体"/>
                <w:lang w:val="en-US" w:eastAsia="zh-CN"/>
              </w:rPr>
              <w:t xml:space="preserve">   </w:t>
            </w:r>
            <w:r>
              <w:rPr>
                <w:rFonts w:hint="eastAsia" w:ascii="宋体" w:hAnsi="宋体" w:cs="宋体"/>
              </w:rPr>
              <w:t>E-MAIL ：</w:t>
            </w:r>
            <w:r>
              <w:rPr>
                <w:rFonts w:hint="eastAsia" w:ascii="宋体" w:hAnsi="宋体" w:cs="宋体"/>
                <w:szCs w:val="21"/>
                <w:lang w:val="en-US" w:eastAsia="zh-CN"/>
              </w:rPr>
              <w:t>sunwen</w:t>
            </w:r>
            <w:r>
              <w:rPr>
                <w:rFonts w:hint="eastAsia" w:ascii="宋体" w:hAnsi="宋体" w:cs="宋体"/>
                <w:szCs w:val="21"/>
              </w:rPr>
              <w:t>@xzfutures.com</w:t>
            </w:r>
            <w:r>
              <w:rPr>
                <w:rFonts w:hint="eastAsia" w:ascii="宋体" w:hAnsi="宋体" w:cs="宋体"/>
              </w:rPr>
              <w:br w:type="textWrapping"/>
            </w:r>
            <w:r>
              <w:rPr>
                <w:rFonts w:hint="eastAsia" w:ascii="宋体" w:hAnsi="宋体" w:cs="宋体"/>
                <w:lang w:val="en-US" w:eastAsia="zh-CN"/>
              </w:rPr>
              <w:t xml:space="preserve">   </w:t>
            </w:r>
            <w:r>
              <w:rPr>
                <w:rFonts w:hint="eastAsia" w:ascii="宋体" w:hAnsi="宋体" w:cs="宋体"/>
                <w:szCs w:val="21"/>
                <w:lang w:bidi="ar"/>
              </w:rPr>
              <w:t>投资者对本报告书如有任何疑问，可以咨询管理人兴证期货有限公司。</w:t>
            </w:r>
            <w:r>
              <w:rPr>
                <w:rFonts w:hint="eastAsia" w:ascii="宋体" w:hAnsi="宋体" w:cs="宋体"/>
              </w:rPr>
              <w:t xml:space="preserve">                                                                                </w:t>
            </w:r>
            <w:r>
              <w:rPr>
                <w:rFonts w:hint="eastAsia" w:ascii="宋体" w:hAnsi="宋体" w:cs="宋体"/>
                <w:lang w:val="en-US" w:eastAsia="zh-CN"/>
              </w:rPr>
              <w:t>4</w:t>
            </w:r>
            <w:r>
              <w:rPr>
                <w:rFonts w:hint="eastAsia" w:ascii="宋体" w:hAnsi="宋体" w:cs="宋体"/>
              </w:rPr>
              <w:t>.</w:t>
            </w:r>
            <w:r>
              <w:rPr>
                <w:rFonts w:hint="eastAsia" w:ascii="宋体" w:hAnsi="宋体" w:cs="宋体"/>
                <w:lang w:val="en-US" w:eastAsia="zh-CN"/>
              </w:rPr>
              <w:t xml:space="preserve">6 </w:t>
            </w:r>
            <w:r>
              <w:rPr>
                <w:rFonts w:hint="eastAsia" w:ascii="宋体" w:hAnsi="宋体" w:cs="宋体"/>
              </w:rPr>
              <w:t>报告期内其他说明情况</w:t>
            </w:r>
            <w:r>
              <w:rPr>
                <w:rFonts w:hint="eastAsia" w:ascii="宋体" w:hAnsi="宋体" w:cs="宋体"/>
              </w:rPr>
              <w:br w:type="textWrapping"/>
            </w:r>
            <w:r>
              <w:rPr>
                <w:rFonts w:hint="eastAsia" w:ascii="宋体" w:hAnsi="宋体" w:cs="宋体"/>
                <w:lang w:val="en-US" w:eastAsia="zh-CN"/>
              </w:rPr>
              <w:t xml:space="preserve">   </w:t>
            </w:r>
            <w:r>
              <w:rPr>
                <w:rFonts w:hint="eastAsia" w:ascii="宋体" w:hAnsi="宋体" w:cs="宋体"/>
              </w:rPr>
              <w:t>本计划本报告期内未进行利润分配、投资经理未变更、未发生关联交易、未发生损害投资者利益的事件及其他不符合法律法规的事项。公司将继续遵守相关法律法规要求，严格履行管理人职责。</w:t>
            </w:r>
          </w:p>
        </w:tc>
      </w:tr>
    </w:tbl>
    <w:p>
      <w:pPr>
        <w:rPr>
          <w:rFonts w:ascii="宋体" w:hAnsi="宋体"/>
          <w:b/>
          <w:szCs w:val="21"/>
        </w:rPr>
      </w:pPr>
    </w:p>
    <w:p>
      <w:pPr>
        <w:pStyle w:val="2"/>
        <w:numPr>
          <w:ilvl w:val="0"/>
          <w:numId w:val="1"/>
        </w:numPr>
        <w:rPr>
          <w:rFonts w:ascii="宋体" w:hAnsi="宋体"/>
          <w:szCs w:val="21"/>
        </w:rPr>
      </w:pPr>
      <w:bookmarkStart w:id="3" w:name="_Toc445130141"/>
      <w:r>
        <w:rPr>
          <w:rFonts w:hint="eastAsia" w:ascii="宋体" w:hAnsi="宋体"/>
          <w:szCs w:val="21"/>
        </w:rPr>
        <w:t>托管人报告</w:t>
      </w:r>
      <w:bookmarkEnd w:id="3"/>
      <w:r>
        <w:rPr>
          <w:rFonts w:hint="eastAsia" w:ascii="宋体" w:hAnsi="宋体"/>
          <w:szCs w:val="21"/>
        </w:rPr>
        <w:t>（如有）</w:t>
      </w:r>
    </w:p>
    <w:p>
      <w:pPr>
        <w:pStyle w:val="27"/>
        <w:numPr>
          <w:ilvl w:val="0"/>
          <w:numId w:val="5"/>
        </w:numPr>
        <w:ind w:firstLineChars="0"/>
        <w:outlineLvl w:val="1"/>
        <w:rPr>
          <w:rFonts w:ascii="宋体" w:hAnsi="宋体"/>
          <w:szCs w:val="21"/>
        </w:rPr>
      </w:pPr>
      <w:r>
        <w:rPr>
          <w:rFonts w:hint="eastAsia" w:ascii="宋体" w:hAnsi="宋体"/>
          <w:szCs w:val="21"/>
        </w:rPr>
        <w:t>报告期内本基金托管人遵规守信情况声明</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ascii="宋体" w:hAnsi="宋体"/>
                <w:szCs w:val="21"/>
              </w:rPr>
            </w:pPr>
            <w:r>
              <w:rPr>
                <w:rFonts w:ascii="宋体" w:hAnsi="宋体"/>
                <w:szCs w:val="21"/>
              </w:rPr>
              <w:t>托管人在对本基金的托管过程中，严格遵守《证券投资基金法》及其他法律法规、基金合同和托管服务协议的有关规定，不存在任何损害基金投资者利益的行为，完全尽职尽责地履行了托管人应尽的义务。</w:t>
            </w:r>
          </w:p>
        </w:tc>
      </w:tr>
    </w:tbl>
    <w:p>
      <w:pPr>
        <w:rPr>
          <w:rFonts w:ascii="宋体" w:hAnsi="宋体"/>
          <w:szCs w:val="21"/>
        </w:rPr>
      </w:pPr>
    </w:p>
    <w:p>
      <w:pPr>
        <w:pStyle w:val="27"/>
        <w:numPr>
          <w:ilvl w:val="0"/>
          <w:numId w:val="5"/>
        </w:numPr>
        <w:ind w:firstLineChars="0"/>
        <w:outlineLvl w:val="1"/>
        <w:rPr>
          <w:rFonts w:ascii="宋体" w:hAnsi="宋体"/>
          <w:szCs w:val="21"/>
        </w:rPr>
      </w:pPr>
      <w:r>
        <w:rPr>
          <w:rFonts w:hint="eastAsia" w:ascii="宋体" w:hAnsi="宋体"/>
          <w:szCs w:val="21"/>
        </w:rPr>
        <w:t>托管人对报告期内本基金投资运作遵规守信、净值计算、利润分配等情况的说明</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ascii="宋体" w:hAnsi="宋体"/>
                <w:szCs w:val="21"/>
              </w:rPr>
            </w:pPr>
            <w:r>
              <w:rPr>
                <w:rFonts w:ascii="宋体" w:hAnsi="宋体"/>
                <w:szCs w:val="21"/>
              </w:rPr>
              <w:t>管理人在本基金的投资运作、基金资产净值计算、利润分配等问题上，未发现明显损害基金投资者利益的行为，在各重要方面的运作严格按照基金合同和托管服务协议的规定进行。</w:t>
            </w:r>
          </w:p>
        </w:tc>
      </w:tr>
    </w:tbl>
    <w:p>
      <w:pPr>
        <w:rPr>
          <w:rFonts w:ascii="宋体" w:hAnsi="宋体"/>
          <w:szCs w:val="21"/>
        </w:rPr>
      </w:pPr>
    </w:p>
    <w:p>
      <w:pPr>
        <w:pStyle w:val="27"/>
        <w:numPr>
          <w:ilvl w:val="0"/>
          <w:numId w:val="5"/>
        </w:numPr>
        <w:ind w:firstLineChars="0"/>
        <w:outlineLvl w:val="1"/>
        <w:rPr>
          <w:rFonts w:ascii="宋体" w:hAnsi="宋体"/>
          <w:szCs w:val="21"/>
        </w:rPr>
      </w:pPr>
      <w:r>
        <w:rPr>
          <w:rFonts w:hint="eastAsia" w:ascii="宋体" w:hAnsi="宋体"/>
          <w:szCs w:val="21"/>
        </w:rPr>
        <w:t>托管人对本年度报告中财务信息等内容的真实、准确和完整发表意见</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ascii="宋体" w:hAnsi="宋体"/>
                <w:szCs w:val="21"/>
              </w:rPr>
            </w:pPr>
            <w:r>
              <w:rPr>
                <w:rFonts w:ascii="宋体" w:hAnsi="宋体"/>
                <w:szCs w:val="21"/>
              </w:rPr>
              <w:t>托管人依法对管理人编制和披露的本基金报告中财务指标、净值表现、利润分配情况、财务会计报告、投资组合报告进行了核查，以上内容真实、准确和完整。</w:t>
            </w:r>
          </w:p>
        </w:tc>
      </w:tr>
    </w:tbl>
    <w:p>
      <w:pPr>
        <w:rPr>
          <w:rFonts w:ascii="宋体" w:hAnsi="宋体"/>
          <w:b/>
          <w:szCs w:val="21"/>
        </w:rPr>
      </w:pPr>
    </w:p>
    <w:p>
      <w:pPr>
        <w:pStyle w:val="2"/>
        <w:numPr>
          <w:ilvl w:val="0"/>
          <w:numId w:val="1"/>
        </w:numPr>
        <w:rPr>
          <w:rFonts w:ascii="宋体" w:hAnsi="宋体"/>
          <w:szCs w:val="21"/>
        </w:rPr>
      </w:pPr>
      <w:bookmarkStart w:id="4" w:name="_Toc445130142"/>
      <w:r>
        <w:rPr>
          <w:rFonts w:hint="eastAsia" w:ascii="宋体" w:hAnsi="宋体"/>
          <w:szCs w:val="21"/>
        </w:rPr>
        <w:t>年度财务报表</w:t>
      </w:r>
      <w:bookmarkEnd w:id="4"/>
    </w:p>
    <w:p>
      <w:pPr>
        <w:pStyle w:val="27"/>
        <w:ind w:left="425" w:right="210" w:firstLine="0" w:firstLineChars="0"/>
        <w:jc w:val="right"/>
      </w:pPr>
      <w:r>
        <w:rPr>
          <w:rFonts w:hint="eastAsia"/>
          <w:b/>
          <w:color w:val="FF0000"/>
        </w:rPr>
        <w:t>金额单位：元</w:t>
      </w:r>
    </w:p>
    <w:p>
      <w:pPr>
        <w:pStyle w:val="27"/>
        <w:numPr>
          <w:ilvl w:val="0"/>
          <w:numId w:val="6"/>
        </w:numPr>
        <w:ind w:firstLineChars="0"/>
        <w:outlineLvl w:val="1"/>
        <w:rPr>
          <w:rFonts w:ascii="宋体" w:hAnsi="宋体"/>
          <w:szCs w:val="21"/>
        </w:rPr>
      </w:pPr>
      <w:r>
        <w:rPr>
          <w:rFonts w:hint="eastAsia" w:ascii="宋体" w:hAnsi="宋体"/>
          <w:szCs w:val="21"/>
        </w:rPr>
        <w:t>资产负债表</w:t>
      </w:r>
    </w:p>
    <w:tbl>
      <w:tblPr>
        <w:tblStyle w:val="14"/>
        <w:tblW w:w="5000" w:type="pct"/>
        <w:tblInd w:w="0" w:type="dxa"/>
        <w:tblLayout w:type="autofit"/>
        <w:tblCellMar>
          <w:top w:w="0" w:type="dxa"/>
          <w:left w:w="108" w:type="dxa"/>
          <w:bottom w:w="0" w:type="dxa"/>
          <w:right w:w="108" w:type="dxa"/>
        </w:tblCellMar>
      </w:tblPr>
      <w:tblGrid>
        <w:gridCol w:w="3061"/>
        <w:gridCol w:w="2591"/>
        <w:gridCol w:w="2870"/>
      </w:tblGrid>
      <w:tr>
        <w:tblPrEx>
          <w:tblCellMar>
            <w:top w:w="0" w:type="dxa"/>
            <w:left w:w="108" w:type="dxa"/>
            <w:bottom w:w="0" w:type="dxa"/>
            <w:right w:w="108" w:type="dxa"/>
          </w:tblCellMar>
        </w:tblPrEx>
        <w:trPr>
          <w:trHeight w:val="270" w:hRule="atLeast"/>
        </w:trPr>
        <w:tc>
          <w:tcPr>
            <w:tcW w:w="1796"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资产</w:t>
            </w:r>
          </w:p>
        </w:tc>
        <w:tc>
          <w:tcPr>
            <w:tcW w:w="1520"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本期末2023年12月31日</w:t>
            </w:r>
          </w:p>
        </w:tc>
        <w:tc>
          <w:tcPr>
            <w:tcW w:w="168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上年度末-</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银行存款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89,377.53</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结算备付金</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69,544.53</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存出保证金</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交易性金融资产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203,351,803.28</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其中：股票投资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基金投资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债券投资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203,351,803.28</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资产支持证券投资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贵金属投资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衍生金融资产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买入返售金融资产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应收证券清算款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应收利息</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应收股利</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应收申购款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递延所得税资产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38"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资产总计</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203,510,725.34</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负债和所有者权益</w:t>
            </w:r>
          </w:p>
        </w:tc>
        <w:tc>
          <w:tcPr>
            <w:tcW w:w="1520"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本期末2023年12月31日</w:t>
            </w:r>
          </w:p>
        </w:tc>
        <w:tc>
          <w:tcPr>
            <w:tcW w:w="1684"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上年度末-</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短期借款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交易性金融负债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衍生金融负债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卖出回购金融资产款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应付证券清算款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应付赎回款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应付管理人报酬</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5,394.48</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应付托管费</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1,348.52</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应付销售服务费</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应付交易费用</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150.00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应交税费</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109,340.52</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应付利息</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应付利润</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递延所得税负债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1,348.52</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负债合计</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117,582.04</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所有者权益：</w:t>
            </w:r>
          </w:p>
        </w:tc>
        <w:tc>
          <w:tcPr>
            <w:tcW w:w="1520" w:type="pct"/>
            <w:tcBorders>
              <w:top w:val="nil"/>
              <w:left w:val="nil"/>
              <w:bottom w:val="single" w:color="auto" w:sz="4" w:space="0"/>
              <w:right w:val="single" w:color="auto" w:sz="4" w:space="0"/>
            </w:tcBorders>
          </w:tcPr>
          <w:p>
            <w:pPr>
              <w:widowControl/>
              <w:jc w:val="right"/>
              <w:rPr>
                <w:rFonts w:ascii="宋体" w:hAnsi="宋体" w:cs="宋体"/>
                <w:b/>
                <w:bCs/>
                <w:kern w:val="0"/>
                <w:szCs w:val="21"/>
              </w:rPr>
            </w:pPr>
          </w:p>
        </w:tc>
        <w:tc>
          <w:tcPr>
            <w:tcW w:w="1684" w:type="pct"/>
            <w:tcBorders>
              <w:top w:val="nil"/>
              <w:left w:val="nil"/>
              <w:bottom w:val="single" w:color="auto" w:sz="4" w:space="0"/>
              <w:right w:val="single" w:color="auto" w:sz="4" w:space="0"/>
            </w:tcBorders>
          </w:tcPr>
          <w:p>
            <w:pPr>
              <w:widowControl/>
              <w:jc w:val="right"/>
              <w:rPr>
                <w:rFonts w:ascii="宋体" w:hAnsi="宋体" w:cs="宋体"/>
                <w:b/>
                <w:bCs/>
                <w:kern w:val="0"/>
                <w:szCs w:val="21"/>
              </w:rPr>
            </w:pP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实收基金</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199,167,662.29</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未分配利润</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4,225,481.01</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所有者权益合计</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203,393,143.30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负债和所有者权益总计</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203,510,725.34</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bl>
    <w:p>
      <w:pPr>
        <w:pStyle w:val="27"/>
        <w:numPr>
          <w:ilvl w:val="0"/>
          <w:numId w:val="6"/>
        </w:numPr>
        <w:ind w:firstLineChars="0"/>
        <w:outlineLvl w:val="1"/>
        <w:rPr>
          <w:rFonts w:ascii="宋体" w:hAnsi="宋体"/>
          <w:szCs w:val="21"/>
        </w:rPr>
      </w:pPr>
      <w:r>
        <w:rPr>
          <w:rFonts w:hint="eastAsia" w:ascii="宋体" w:hAnsi="宋体"/>
          <w:szCs w:val="21"/>
        </w:rPr>
        <w:t>利润表</w:t>
      </w:r>
    </w:p>
    <w:tbl>
      <w:tblPr>
        <w:tblStyle w:val="14"/>
        <w:tblW w:w="5000" w:type="pct"/>
        <w:tblInd w:w="0" w:type="dxa"/>
        <w:tblLayout w:type="autofit"/>
        <w:tblCellMar>
          <w:top w:w="0" w:type="dxa"/>
          <w:left w:w="108" w:type="dxa"/>
          <w:bottom w:w="0" w:type="dxa"/>
          <w:right w:w="108" w:type="dxa"/>
        </w:tblCellMar>
      </w:tblPr>
      <w:tblGrid>
        <w:gridCol w:w="3085"/>
        <w:gridCol w:w="2553"/>
        <w:gridCol w:w="2884"/>
      </w:tblGrid>
      <w:tr>
        <w:tblPrEx>
          <w:tblCellMar>
            <w:top w:w="0" w:type="dxa"/>
            <w:left w:w="108" w:type="dxa"/>
            <w:bottom w:w="0" w:type="dxa"/>
            <w:right w:w="108" w:type="dxa"/>
          </w:tblCellMar>
        </w:tblPrEx>
        <w:trPr>
          <w:trHeight w:val="270" w:hRule="atLeast"/>
        </w:trPr>
        <w:tc>
          <w:tcPr>
            <w:tcW w:w="1810"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项目</w:t>
            </w:r>
          </w:p>
        </w:tc>
        <w:tc>
          <w:tcPr>
            <w:tcW w:w="149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本期</w:t>
            </w:r>
          </w:p>
        </w:tc>
        <w:tc>
          <w:tcPr>
            <w:tcW w:w="169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上年度可比期间</w:t>
            </w:r>
          </w:p>
        </w:tc>
      </w:tr>
      <w:tr>
        <w:tblPrEx>
          <w:tblCellMar>
            <w:top w:w="0" w:type="dxa"/>
            <w:left w:w="108" w:type="dxa"/>
            <w:bottom w:w="0" w:type="dxa"/>
            <w:right w:w="108" w:type="dxa"/>
          </w:tblCellMar>
        </w:tblPrEx>
        <w:trPr>
          <w:trHeight w:val="270" w:hRule="atLeast"/>
        </w:trPr>
        <w:tc>
          <w:tcPr>
            <w:tcW w:w="181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p>
        </w:tc>
        <w:tc>
          <w:tcPr>
            <w:tcW w:w="1498"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2023年7月12日 至 2023年12月31日</w:t>
            </w:r>
          </w:p>
        </w:tc>
        <w:tc>
          <w:tcPr>
            <w:tcW w:w="1692"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至 -</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一、收入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3,413,758.11</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1,013,218.38</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其中：存款利息收入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45,561.26</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债券利息收入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891,803.28</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资产支持证券利息收入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买入返售金融资产收入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其他利息收入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75,853.84</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2.投资收益（损失以“-”填列）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12,190.22</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其中：股票投资收益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基金投资收益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债券投资收益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资产支持证券投资收益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贵金属投资收益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衍生工具收益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rPr>
          <w:trHeight w:val="270" w:hRule="atLeast"/>
        </w:trPr>
        <w:tc>
          <w:tcPr>
            <w:tcW w:w="1810" w:type="pct"/>
            <w:tcBorders>
              <w:top w:val="nil"/>
              <w:left w:val="single" w:color="auto" w:sz="4" w:space="0"/>
              <w:bottom w:val="single" w:color="auto" w:sz="4" w:space="0"/>
              <w:right w:val="single" w:color="auto" w:sz="4" w:space="0"/>
            </w:tcBorders>
            <w:vAlign w:val="center"/>
          </w:tcPr>
          <w:p>
            <w:pPr>
              <w:jc w:val="left"/>
              <w:rPr>
                <w:rFonts w:ascii="宋体" w:hAnsi="宋体"/>
              </w:rPr>
            </w:pPr>
            <w:r>
              <w:rPr>
                <w:rFonts w:hint="eastAsia" w:ascii="宋体" w:hAnsi="宋体"/>
              </w:rPr>
              <w:t>股利收益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12,190.22</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3.公允价值变动收益</w:t>
            </w:r>
          </w:p>
          <w:p>
            <w:pPr>
              <w:widowControl/>
              <w:jc w:val="left"/>
              <w:rPr>
                <w:rFonts w:ascii="宋体" w:hAnsi="宋体" w:cs="宋体"/>
                <w:kern w:val="0"/>
                <w:szCs w:val="21"/>
              </w:rPr>
            </w:pPr>
            <w:r>
              <w:rPr>
                <w:rFonts w:hint="eastAsia" w:ascii="宋体" w:hAnsi="宋体" w:cs="宋体"/>
                <w:kern w:val="0"/>
                <w:szCs w:val="21"/>
              </w:rPr>
              <w:t>（损失以“-”填列）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2,388,349.51</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4.汇兑收益（损失以“-”填列）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5.其他收入（损失以“-”填列）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减：二、费用</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20,614.81</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1．管理人报酬</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5,833.52</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其中：固定管理费</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5,833.52</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业绩报酬</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2．托管费</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1,458.12</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3．销售服务费</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4. 外包服务费</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1,458.12</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5．交易费用</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150.00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6．利息支出</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其中：卖出回购金融资产支出</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7．其他费用</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11,715.05</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三、利润总额</w:t>
            </w:r>
          </w:p>
          <w:p>
            <w:pPr>
              <w:widowControl/>
              <w:jc w:val="left"/>
              <w:rPr>
                <w:rFonts w:ascii="宋体" w:hAnsi="宋体" w:cs="宋体"/>
                <w:b/>
                <w:bCs/>
                <w:kern w:val="0"/>
                <w:szCs w:val="21"/>
              </w:rPr>
            </w:pPr>
            <w:r>
              <w:rPr>
                <w:rFonts w:hint="eastAsia" w:ascii="宋体" w:hAnsi="宋体" w:cs="宋体"/>
                <w:b/>
                <w:bCs/>
                <w:kern w:val="0"/>
                <w:szCs w:val="21"/>
              </w:rPr>
              <w:t>（亏损总额以“-”号填列）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3,393,143.30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减：所得税费用</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四、净利润</w:t>
            </w:r>
          </w:p>
          <w:p>
            <w:pPr>
              <w:widowControl/>
              <w:jc w:val="left"/>
              <w:rPr>
                <w:rFonts w:ascii="宋体" w:hAnsi="宋体" w:cs="宋体"/>
                <w:kern w:val="0"/>
                <w:szCs w:val="21"/>
              </w:rPr>
            </w:pPr>
            <w:r>
              <w:rPr>
                <w:rFonts w:hint="eastAsia" w:ascii="宋体" w:hAnsi="宋体" w:cs="宋体"/>
                <w:kern w:val="0"/>
                <w:szCs w:val="21"/>
              </w:rPr>
              <w:t>（净亏损以“-”号填列）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3,393,143.30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bl>
    <w:p>
      <w:pPr>
        <w:pStyle w:val="27"/>
        <w:numPr>
          <w:ilvl w:val="0"/>
          <w:numId w:val="6"/>
        </w:numPr>
        <w:ind w:firstLineChars="0"/>
        <w:outlineLvl w:val="1"/>
        <w:rPr>
          <w:rFonts w:ascii="宋体" w:hAnsi="宋体"/>
          <w:szCs w:val="21"/>
        </w:rPr>
      </w:pPr>
      <w:r>
        <w:rPr>
          <w:rFonts w:hint="eastAsia" w:ascii="宋体" w:hAnsi="宋体"/>
          <w:szCs w:val="21"/>
        </w:rPr>
        <w:t>所有者权益变动表</w:t>
      </w:r>
    </w:p>
    <w:tbl>
      <w:tblPr>
        <w:tblStyle w:val="14"/>
        <w:tblW w:w="5000" w:type="pct"/>
        <w:tblInd w:w="0" w:type="dxa"/>
        <w:tblLayout w:type="autofit"/>
        <w:tblCellMar>
          <w:top w:w="0" w:type="dxa"/>
          <w:left w:w="108" w:type="dxa"/>
          <w:bottom w:w="0" w:type="dxa"/>
          <w:right w:w="108" w:type="dxa"/>
        </w:tblCellMar>
      </w:tblPr>
      <w:tblGrid>
        <w:gridCol w:w="3071"/>
        <w:gridCol w:w="2218"/>
        <w:gridCol w:w="1547"/>
        <w:gridCol w:w="1686"/>
      </w:tblGrid>
      <w:tr>
        <w:tblPrEx>
          <w:tblCellMar>
            <w:top w:w="0" w:type="dxa"/>
            <w:left w:w="108" w:type="dxa"/>
            <w:bottom w:w="0" w:type="dxa"/>
            <w:right w:w="108" w:type="dxa"/>
          </w:tblCellMar>
        </w:tblPrEx>
        <w:trPr>
          <w:trHeight w:val="270" w:hRule="atLeast"/>
        </w:trPr>
        <w:tc>
          <w:tcPr>
            <w:tcW w:w="1810" w:type="pct"/>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项目</w:t>
            </w:r>
          </w:p>
        </w:tc>
        <w:tc>
          <w:tcPr>
            <w:tcW w:w="3190" w:type="pct"/>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本期</w:t>
            </w:r>
          </w:p>
          <w:p>
            <w:pPr>
              <w:widowControl/>
              <w:jc w:val="center"/>
              <w:rPr>
                <w:rFonts w:ascii="宋体" w:hAnsi="宋体" w:cs="宋体"/>
                <w:b/>
                <w:bCs/>
                <w:kern w:val="0"/>
                <w:szCs w:val="21"/>
              </w:rPr>
            </w:pPr>
            <w:r>
              <w:rPr>
                <w:rFonts w:hint="eastAsia" w:ascii="宋体" w:hAnsi="宋体" w:cs="宋体"/>
                <w:b/>
                <w:bCs/>
                <w:kern w:val="0"/>
                <w:szCs w:val="21"/>
              </w:rPr>
              <w:t>2023年7月12日 至 2023年12月31日</w:t>
            </w:r>
          </w:p>
        </w:tc>
      </w:tr>
      <w:tr>
        <w:tblPrEx>
          <w:tblCellMar>
            <w:top w:w="0" w:type="dxa"/>
            <w:left w:w="108" w:type="dxa"/>
            <w:bottom w:w="0" w:type="dxa"/>
            <w:right w:w="108" w:type="dxa"/>
          </w:tblCellMar>
        </w:tblPrEx>
        <w:trPr>
          <w:trHeight w:val="270" w:hRule="atLeast"/>
        </w:trPr>
        <w:tc>
          <w:tcPr>
            <w:tcW w:w="1810"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309"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实收基金</w:t>
            </w:r>
          </w:p>
        </w:tc>
        <w:tc>
          <w:tcPr>
            <w:tcW w:w="900"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未分配利润</w:t>
            </w:r>
          </w:p>
        </w:tc>
        <w:tc>
          <w:tcPr>
            <w:tcW w:w="981"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所有者权益合计</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一、期初所有者权益（基金净值）</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10,000,000.00</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10,000,000.00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二、本期经营活动产生的基金净值变动数（本期利润）</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3,393,143.30</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3,393,143.30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三、本期基金份额交易产生的基金净值变动数（净值减少以“-”号填列）</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189,167,662.29</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832,337.71</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190,000,000.00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其中：1.基金申购款</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189,167,662.29</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832,337.71</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190,000,000.00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2.基金赎回款</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四、本期向基金份额持有人分配利润产生的基金净值变动（净值减少以“-”号填列）</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五、期末所有者权益（基金净值）</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199,167,662.29</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4,225,481.01</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203,393,143.30</w:t>
            </w:r>
          </w:p>
        </w:tc>
      </w:tr>
      <w:tr>
        <w:tblPrEx>
          <w:tblCellMar>
            <w:top w:w="0" w:type="dxa"/>
            <w:left w:w="108" w:type="dxa"/>
            <w:bottom w:w="0" w:type="dxa"/>
            <w:right w:w="108" w:type="dxa"/>
          </w:tblCellMar>
        </w:tblPrEx>
        <w:trPr>
          <w:trHeight w:val="270" w:hRule="atLeast"/>
        </w:trPr>
        <w:tc>
          <w:tcPr>
            <w:tcW w:w="1810" w:type="pct"/>
            <w:vMerge w:val="restart"/>
            <w:tcBorders>
              <w:top w:val="nil"/>
              <w:left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项目</w:t>
            </w:r>
          </w:p>
        </w:tc>
        <w:tc>
          <w:tcPr>
            <w:tcW w:w="3190" w:type="pct"/>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上年度可比期间</w:t>
            </w:r>
          </w:p>
          <w:p>
            <w:pPr>
              <w:widowControl/>
              <w:jc w:val="center"/>
              <w:rPr>
                <w:rFonts w:ascii="宋体" w:hAnsi="宋体" w:cs="宋体"/>
                <w:b/>
                <w:bCs/>
                <w:kern w:val="0"/>
                <w:szCs w:val="21"/>
              </w:rPr>
            </w:pPr>
            <w:r>
              <w:rPr>
                <w:rFonts w:hint="eastAsia" w:ascii="宋体" w:hAnsi="宋体" w:cs="宋体"/>
                <w:b/>
                <w:kern w:val="0"/>
                <w:szCs w:val="21"/>
              </w:rPr>
              <w:t>- 至 -</w:t>
            </w:r>
          </w:p>
        </w:tc>
      </w:tr>
      <w:tr>
        <w:tblPrEx>
          <w:tblCellMar>
            <w:top w:w="0" w:type="dxa"/>
            <w:left w:w="108" w:type="dxa"/>
            <w:bottom w:w="0" w:type="dxa"/>
            <w:right w:w="108" w:type="dxa"/>
          </w:tblCellMar>
        </w:tblPrEx>
        <w:trPr>
          <w:trHeight w:val="270" w:hRule="atLeast"/>
        </w:trPr>
        <w:tc>
          <w:tcPr>
            <w:tcW w:w="1810"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309"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实收基金</w:t>
            </w:r>
          </w:p>
        </w:tc>
        <w:tc>
          <w:tcPr>
            <w:tcW w:w="915"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未分配利润</w:t>
            </w:r>
          </w:p>
        </w:tc>
        <w:tc>
          <w:tcPr>
            <w:tcW w:w="966"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所有者权益合计</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一、期初所有者权益（基金净值）</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二、本期经营活动产生的基金净值变动数（本期利润）</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三、本期基金份额交易产生的基金净值变动数（净值减少以“-”号填列）</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其中：1.基金申购款</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cs="宋体"/>
                <w:kern w:val="0"/>
                <w:szCs w:val="21"/>
              </w:rPr>
            </w:pPr>
            <w:r>
              <w:rPr>
                <w:rFonts w:hint="eastAsia" w:ascii="宋体" w:hAnsi="宋体" w:cs="宋体"/>
                <w:kern w:val="0"/>
                <w:szCs w:val="21"/>
              </w:rPr>
              <w:t>2.基金赎回款</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四、本期向基金份额持有人分配利润产生的基金净值变动（净值减少以“-”号填列）</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五、期末所有者权益（基金净值）</w:t>
            </w:r>
          </w:p>
        </w:tc>
        <w:tc>
          <w:tcPr>
            <w:tcW w:w="1309"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c>
          <w:tcPr>
            <w:tcW w:w="915"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c>
          <w:tcPr>
            <w:tcW w:w="966"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bl>
    <w:p>
      <w:pPr>
        <w:rPr>
          <w:rFonts w:ascii="宋体" w:hAnsi="宋体"/>
          <w:vanish/>
          <w:szCs w:val="21"/>
        </w:rPr>
      </w:pPr>
    </w:p>
    <w:p>
      <w:pPr>
        <w:pStyle w:val="2"/>
        <w:numPr>
          <w:ilvl w:val="0"/>
          <w:numId w:val="1"/>
        </w:numPr>
        <w:rPr>
          <w:rFonts w:ascii="宋体" w:hAnsi="宋体"/>
          <w:szCs w:val="21"/>
        </w:rPr>
      </w:pPr>
      <w:bookmarkStart w:id="5" w:name="_Toc445130143"/>
      <w:r>
        <w:rPr>
          <w:rFonts w:hint="eastAsia" w:ascii="宋体" w:hAnsi="宋体"/>
          <w:szCs w:val="21"/>
        </w:rPr>
        <w:t>期末投资组合情况</w:t>
      </w:r>
      <w:bookmarkEnd w:id="5"/>
    </w:p>
    <w:p>
      <w:pPr>
        <w:pStyle w:val="27"/>
        <w:numPr>
          <w:ilvl w:val="0"/>
          <w:numId w:val="7"/>
        </w:numPr>
        <w:ind w:firstLineChars="0"/>
        <w:outlineLvl w:val="1"/>
        <w:rPr>
          <w:rFonts w:ascii="宋体" w:hAnsi="宋体"/>
          <w:szCs w:val="21"/>
        </w:rPr>
      </w:pPr>
      <w:r>
        <w:rPr>
          <w:rFonts w:hint="eastAsia" w:ascii="宋体" w:hAnsi="宋体"/>
          <w:szCs w:val="21"/>
        </w:rPr>
        <w:t>期末基金资产组合情况</w:t>
      </w:r>
    </w:p>
    <w:p>
      <w:pPr>
        <w:jc w:val="right"/>
        <w:rPr>
          <w:rFonts w:ascii="宋体" w:hAnsi="宋体"/>
          <w:szCs w:val="21"/>
        </w:rPr>
      </w:pPr>
      <w:r>
        <w:rPr>
          <w:rFonts w:hint="eastAsia" w:ascii="宋体" w:hAnsi="宋体"/>
          <w:b/>
          <w:color w:val="FF0000"/>
          <w:szCs w:val="21"/>
        </w:rPr>
        <w:t>金额单位：元</w:t>
      </w:r>
    </w:p>
    <w:tbl>
      <w:tblPr>
        <w:tblStyle w:val="14"/>
        <w:tblW w:w="8217" w:type="dxa"/>
        <w:tblInd w:w="113" w:type="dxa"/>
        <w:tblLayout w:type="autofit"/>
        <w:tblCellMar>
          <w:top w:w="0" w:type="dxa"/>
          <w:left w:w="108" w:type="dxa"/>
          <w:bottom w:w="0" w:type="dxa"/>
          <w:right w:w="108" w:type="dxa"/>
        </w:tblCellMar>
      </w:tblPr>
      <w:tblGrid>
        <w:gridCol w:w="1696"/>
        <w:gridCol w:w="2410"/>
        <w:gridCol w:w="4111"/>
      </w:tblGrid>
      <w:tr>
        <w:tblPrEx>
          <w:tblCellMar>
            <w:top w:w="0" w:type="dxa"/>
            <w:left w:w="108" w:type="dxa"/>
            <w:bottom w:w="0" w:type="dxa"/>
            <w:right w:w="108" w:type="dxa"/>
          </w:tblCellMar>
        </w:tblPrEx>
        <w:trPr>
          <w:trHeight w:val="330" w:hRule="atLeast"/>
        </w:trPr>
        <w:tc>
          <w:tcPr>
            <w:tcW w:w="410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adjustRightInd w:val="0"/>
              <w:snapToGrid w:val="0"/>
              <w:jc w:val="center"/>
              <w:rPr>
                <w:rFonts w:ascii="微软雅黑" w:hAnsi="微软雅黑" w:eastAsia="微软雅黑" w:cs="宋体"/>
                <w:color w:val="191919"/>
                <w:kern w:val="0"/>
                <w:sz w:val="22"/>
                <w:szCs w:val="22"/>
              </w:rPr>
            </w:pPr>
            <w:r>
              <w:rPr>
                <w:rFonts w:hint="eastAsia" w:ascii="宋体" w:hAnsi="宋体"/>
                <w:b/>
                <w:szCs w:val="21"/>
              </w:rPr>
              <w:t>项目</w:t>
            </w:r>
          </w:p>
        </w:tc>
        <w:tc>
          <w:tcPr>
            <w:tcW w:w="411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宋体"/>
                <w:color w:val="191919"/>
                <w:kern w:val="0"/>
                <w:sz w:val="22"/>
                <w:szCs w:val="22"/>
              </w:rPr>
            </w:pPr>
            <w:r>
              <w:rPr>
                <w:rFonts w:hint="eastAsia" w:ascii="宋体" w:hAnsi="宋体"/>
                <w:b/>
                <w:szCs w:val="21"/>
              </w:rPr>
              <w:t>金额</w:t>
            </w:r>
          </w:p>
        </w:tc>
      </w:tr>
      <w:tr>
        <w:tblPrEx>
          <w:tblCellMar>
            <w:top w:w="0" w:type="dxa"/>
            <w:left w:w="108" w:type="dxa"/>
            <w:bottom w:w="0" w:type="dxa"/>
            <w:right w:w="108" w:type="dxa"/>
          </w:tblCellMar>
        </w:tblPrEx>
        <w:trPr>
          <w:trHeight w:val="330" w:hRule="atLeast"/>
        </w:trPr>
        <w:tc>
          <w:tcPr>
            <w:tcW w:w="169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现金类资产</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银行存款</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89,377.53</w:t>
            </w:r>
          </w:p>
        </w:tc>
      </w:tr>
      <w:tr>
        <w:tblPrEx>
          <w:tblCellMar>
            <w:top w:w="0" w:type="dxa"/>
            <w:left w:w="108" w:type="dxa"/>
            <w:bottom w:w="0" w:type="dxa"/>
            <w:right w:w="108" w:type="dxa"/>
          </w:tblCellMar>
        </w:tblPrEx>
        <w:trPr>
          <w:trHeight w:val="330" w:hRule="atLeast"/>
        </w:trPr>
        <w:tc>
          <w:tcPr>
            <w:tcW w:w="1696"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境内未上市、未挂牌公司股权投资</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股权投资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其中：优先股</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其他股权类投资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上市公司定向增发投资</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上市公司定向增发股票投资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新三板投资</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新三板挂牌企业投资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境内证券投资规模</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结算备付金</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69,544.53</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存出保证金</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股票投资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债券投资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203,351,803.28</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其中：银行间市场债券</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203,351,803.28</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其中：利率债</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其中：信用债</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203,351,803.28</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资产支持证券</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基金投资（公募基金）</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其中：货币基金</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期货及衍生品交易保证金</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买入返售金融资产</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其他证券类标的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资管计划投资</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商业银行理财产品投资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信托计划投资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基金公司及其子公司资产管理计划投资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保险资产管理计划投资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证券公司及其子公司资产管理计划投资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rPr>
          <w:trHeight w:val="66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期货公司及其子公司资产管理计划投资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私募基金产品投资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544"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未在协会备案的合伙企业份额</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另类投资</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另类投资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境内债权类投资</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银行委托贷款规模</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信托贷款</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应收账款投资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各类受（收）益权投资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票据（承兑汇票等）投资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其他债权投资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境外投资</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境外投资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其他资产</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其他资产</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rPr>
          <w:trHeight w:val="330" w:hRule="atLeast"/>
        </w:trPr>
        <w:tc>
          <w:tcPr>
            <w:tcW w:w="1696"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基金负债情况</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债券回购总额</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融资、融券总额</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其中：融券总额</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银行借款总额</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其他融资总额</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bl>
    <w:p>
      <w:pPr>
        <w:rPr>
          <w:rFonts w:ascii="宋体" w:hAnsi="宋体"/>
          <w:b/>
          <w:szCs w:val="21"/>
        </w:rPr>
      </w:pPr>
    </w:p>
    <w:p>
      <w:pPr>
        <w:rPr>
          <w:rFonts w:ascii="宋体" w:hAnsi="宋体"/>
          <w:szCs w:val="21"/>
        </w:rPr>
      </w:pPr>
    </w:p>
    <w:p>
      <w:pPr>
        <w:pStyle w:val="27"/>
        <w:numPr>
          <w:ilvl w:val="0"/>
          <w:numId w:val="7"/>
        </w:numPr>
        <w:ind w:firstLineChars="0"/>
        <w:outlineLvl w:val="1"/>
        <w:rPr>
          <w:rFonts w:ascii="宋体" w:hAnsi="宋体"/>
          <w:szCs w:val="21"/>
        </w:rPr>
      </w:pPr>
      <w:r>
        <w:rPr>
          <w:rFonts w:hint="eastAsia" w:ascii="宋体" w:hAnsi="宋体"/>
          <w:szCs w:val="21"/>
        </w:rPr>
        <w:t>报告期末按行业分类的股票投资组合</w:t>
      </w:r>
    </w:p>
    <w:p>
      <w:pPr>
        <w:pStyle w:val="27"/>
        <w:numPr>
          <w:ilvl w:val="0"/>
          <w:numId w:val="8"/>
        </w:numPr>
        <w:ind w:firstLineChars="0"/>
        <w:outlineLvl w:val="2"/>
        <w:rPr>
          <w:rFonts w:ascii="宋体" w:hAnsi="宋体"/>
          <w:szCs w:val="21"/>
        </w:rPr>
      </w:pPr>
      <w:r>
        <w:rPr>
          <w:rFonts w:hint="eastAsia" w:ascii="宋体" w:hAnsi="宋体"/>
          <w:szCs w:val="21"/>
        </w:rPr>
        <w:t>报告期末按行业分类的境内股票投资组合</w:t>
      </w:r>
    </w:p>
    <w:p>
      <w:pPr>
        <w:jc w:val="right"/>
        <w:rPr>
          <w:rFonts w:ascii="宋体" w:hAnsi="宋体"/>
          <w:szCs w:val="21"/>
        </w:rPr>
      </w:pPr>
      <w:r>
        <w:rPr>
          <w:rFonts w:hint="eastAsia" w:ascii="宋体" w:hAnsi="宋体"/>
          <w:b/>
          <w:color w:val="FF0000"/>
          <w:szCs w:val="21"/>
        </w:rPr>
        <w:t>金额单位：元</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3526"/>
        <w:gridCol w:w="2182"/>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85" w:type="pct"/>
            <w:vAlign w:val="center"/>
          </w:tcPr>
          <w:p>
            <w:pPr>
              <w:jc w:val="center"/>
              <w:rPr>
                <w:rFonts w:ascii="宋体" w:hAnsi="宋体"/>
                <w:b/>
                <w:szCs w:val="21"/>
              </w:rPr>
            </w:pPr>
            <w:r>
              <w:rPr>
                <w:rFonts w:hint="eastAsia" w:ascii="宋体" w:hAnsi="宋体"/>
                <w:b/>
                <w:szCs w:val="21"/>
              </w:rPr>
              <w:t>序号</w:t>
            </w:r>
          </w:p>
        </w:tc>
        <w:tc>
          <w:tcPr>
            <w:tcW w:w="2069" w:type="pct"/>
            <w:vAlign w:val="center"/>
          </w:tcPr>
          <w:p>
            <w:pPr>
              <w:jc w:val="center"/>
              <w:rPr>
                <w:rFonts w:ascii="宋体" w:hAnsi="宋体"/>
                <w:b/>
                <w:szCs w:val="21"/>
              </w:rPr>
            </w:pPr>
            <w:r>
              <w:rPr>
                <w:rFonts w:hint="eastAsia" w:ascii="宋体" w:hAnsi="宋体"/>
                <w:b/>
                <w:szCs w:val="21"/>
              </w:rPr>
              <w:t>行业类别</w:t>
            </w:r>
          </w:p>
        </w:tc>
        <w:tc>
          <w:tcPr>
            <w:tcW w:w="1280" w:type="pct"/>
            <w:vAlign w:val="center"/>
          </w:tcPr>
          <w:p>
            <w:pPr>
              <w:jc w:val="center"/>
              <w:rPr>
                <w:rFonts w:ascii="宋体" w:hAnsi="宋体"/>
                <w:b/>
                <w:szCs w:val="21"/>
              </w:rPr>
            </w:pPr>
            <w:r>
              <w:rPr>
                <w:rFonts w:hint="eastAsia" w:ascii="宋体" w:hAnsi="宋体"/>
                <w:b/>
                <w:szCs w:val="21"/>
              </w:rPr>
              <w:t>公允价值</w:t>
            </w:r>
          </w:p>
        </w:tc>
        <w:tc>
          <w:tcPr>
            <w:tcW w:w="1266" w:type="pct"/>
            <w:vAlign w:val="center"/>
          </w:tcPr>
          <w:p>
            <w:pPr>
              <w:jc w:val="center"/>
              <w:rPr>
                <w:rFonts w:ascii="宋体" w:hAnsi="宋体"/>
                <w:b/>
                <w:szCs w:val="21"/>
              </w:rPr>
            </w:pPr>
            <w:r>
              <w:rPr>
                <w:rFonts w:hint="eastAsia" w:ascii="宋体" w:hAnsi="宋体"/>
                <w:b/>
                <w:szCs w:val="21"/>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ascii="宋体" w:hAnsi="宋体"/>
                <w:kern w:val="0"/>
                <w:szCs w:val="21"/>
              </w:rPr>
              <w:t>A</w:t>
            </w:r>
          </w:p>
        </w:tc>
        <w:tc>
          <w:tcPr>
            <w:tcW w:w="2069" w:type="pct"/>
            <w:vAlign w:val="center"/>
          </w:tcPr>
          <w:p>
            <w:pPr>
              <w:rPr>
                <w:rFonts w:ascii="宋体" w:hAnsi="宋体"/>
                <w:szCs w:val="21"/>
              </w:rPr>
            </w:pPr>
            <w:r>
              <w:rPr>
                <w:rFonts w:hint="eastAsia" w:ascii="宋体" w:hAnsi="宋体" w:cs="宋体"/>
                <w:kern w:val="0"/>
                <w:szCs w:val="21"/>
              </w:rPr>
              <w:t>农、林、牧、渔业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ascii="宋体" w:hAnsi="宋体"/>
                <w:kern w:val="0"/>
                <w:szCs w:val="21"/>
              </w:rPr>
              <w:t>B</w:t>
            </w:r>
          </w:p>
        </w:tc>
        <w:tc>
          <w:tcPr>
            <w:tcW w:w="2069" w:type="pct"/>
            <w:vAlign w:val="center"/>
          </w:tcPr>
          <w:p>
            <w:pPr>
              <w:rPr>
                <w:rFonts w:ascii="宋体" w:hAnsi="宋体"/>
                <w:szCs w:val="21"/>
              </w:rPr>
            </w:pPr>
            <w:r>
              <w:rPr>
                <w:rFonts w:hint="eastAsia" w:ascii="宋体" w:hAnsi="宋体" w:cs="宋体"/>
                <w:kern w:val="0"/>
                <w:szCs w:val="21"/>
              </w:rPr>
              <w:t>采矿业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ascii="宋体" w:hAnsi="宋体"/>
                <w:kern w:val="0"/>
                <w:szCs w:val="21"/>
              </w:rPr>
              <w:t>C</w:t>
            </w:r>
          </w:p>
        </w:tc>
        <w:tc>
          <w:tcPr>
            <w:tcW w:w="2069" w:type="pct"/>
            <w:vAlign w:val="center"/>
          </w:tcPr>
          <w:p>
            <w:pPr>
              <w:rPr>
                <w:rFonts w:ascii="宋体" w:hAnsi="宋体"/>
                <w:szCs w:val="21"/>
              </w:rPr>
            </w:pPr>
            <w:r>
              <w:rPr>
                <w:rFonts w:hint="eastAsia" w:ascii="宋体" w:hAnsi="宋体" w:cs="宋体"/>
                <w:kern w:val="0"/>
                <w:szCs w:val="21"/>
              </w:rPr>
              <w:t>制造业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D</w:t>
            </w:r>
          </w:p>
        </w:tc>
        <w:tc>
          <w:tcPr>
            <w:tcW w:w="2069" w:type="pct"/>
            <w:vAlign w:val="center"/>
          </w:tcPr>
          <w:p>
            <w:pPr>
              <w:rPr>
                <w:rFonts w:ascii="宋体" w:hAnsi="宋体"/>
                <w:szCs w:val="21"/>
              </w:rPr>
            </w:pPr>
            <w:r>
              <w:rPr>
                <w:rFonts w:hint="eastAsia" w:ascii="宋体" w:hAnsi="宋体" w:cs="宋体"/>
                <w:kern w:val="0"/>
                <w:szCs w:val="21"/>
              </w:rPr>
              <w:t>电力、热力、燃气及水生产和供应业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E</w:t>
            </w:r>
          </w:p>
        </w:tc>
        <w:tc>
          <w:tcPr>
            <w:tcW w:w="2069" w:type="pct"/>
            <w:vAlign w:val="center"/>
          </w:tcPr>
          <w:p>
            <w:pPr>
              <w:rPr>
                <w:rFonts w:ascii="宋体" w:hAnsi="宋体"/>
                <w:szCs w:val="21"/>
              </w:rPr>
            </w:pPr>
            <w:r>
              <w:rPr>
                <w:rFonts w:hint="eastAsia" w:ascii="宋体" w:hAnsi="宋体" w:cs="宋体"/>
                <w:kern w:val="0"/>
                <w:szCs w:val="21"/>
              </w:rPr>
              <w:t>建筑业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F</w:t>
            </w:r>
          </w:p>
        </w:tc>
        <w:tc>
          <w:tcPr>
            <w:tcW w:w="2069" w:type="pct"/>
            <w:vAlign w:val="center"/>
          </w:tcPr>
          <w:p>
            <w:pPr>
              <w:rPr>
                <w:rFonts w:ascii="宋体" w:hAnsi="宋体"/>
                <w:szCs w:val="21"/>
              </w:rPr>
            </w:pPr>
            <w:r>
              <w:rPr>
                <w:rFonts w:hint="eastAsia" w:ascii="宋体" w:hAnsi="宋体" w:cs="宋体"/>
                <w:kern w:val="0"/>
                <w:szCs w:val="21"/>
              </w:rPr>
              <w:t>批发和零售业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G</w:t>
            </w:r>
          </w:p>
        </w:tc>
        <w:tc>
          <w:tcPr>
            <w:tcW w:w="2069" w:type="pct"/>
            <w:vAlign w:val="center"/>
          </w:tcPr>
          <w:p>
            <w:pPr>
              <w:rPr>
                <w:rFonts w:ascii="宋体" w:hAnsi="宋体"/>
                <w:szCs w:val="21"/>
              </w:rPr>
            </w:pPr>
            <w:r>
              <w:rPr>
                <w:rFonts w:hint="eastAsia" w:ascii="宋体" w:hAnsi="宋体" w:cs="宋体"/>
                <w:kern w:val="0"/>
                <w:szCs w:val="21"/>
              </w:rPr>
              <w:t>交通运输、仓储和邮政业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H</w:t>
            </w:r>
          </w:p>
        </w:tc>
        <w:tc>
          <w:tcPr>
            <w:tcW w:w="2069" w:type="pct"/>
            <w:vAlign w:val="center"/>
          </w:tcPr>
          <w:p>
            <w:pPr>
              <w:rPr>
                <w:rFonts w:ascii="宋体" w:hAnsi="宋体" w:cs="宋体"/>
                <w:kern w:val="0"/>
                <w:szCs w:val="21"/>
              </w:rPr>
            </w:pPr>
            <w:r>
              <w:rPr>
                <w:rFonts w:hint="eastAsia" w:ascii="宋体" w:hAnsi="宋体" w:cs="宋体"/>
                <w:kern w:val="0"/>
                <w:szCs w:val="21"/>
              </w:rPr>
              <w:t>住宿和餐饮业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I</w:t>
            </w:r>
          </w:p>
        </w:tc>
        <w:tc>
          <w:tcPr>
            <w:tcW w:w="2069" w:type="pct"/>
            <w:vAlign w:val="center"/>
          </w:tcPr>
          <w:p>
            <w:pPr>
              <w:rPr>
                <w:rFonts w:ascii="宋体" w:hAnsi="宋体" w:cs="宋体"/>
                <w:kern w:val="0"/>
                <w:szCs w:val="21"/>
              </w:rPr>
            </w:pPr>
            <w:r>
              <w:rPr>
                <w:rFonts w:hint="eastAsia" w:ascii="宋体" w:hAnsi="宋体" w:cs="宋体"/>
                <w:kern w:val="0"/>
                <w:szCs w:val="21"/>
              </w:rPr>
              <w:t>信息传输、软件和信息技术服务业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J</w:t>
            </w:r>
          </w:p>
        </w:tc>
        <w:tc>
          <w:tcPr>
            <w:tcW w:w="2069" w:type="pct"/>
            <w:vAlign w:val="center"/>
          </w:tcPr>
          <w:p>
            <w:pPr>
              <w:rPr>
                <w:rFonts w:ascii="宋体" w:hAnsi="宋体" w:cs="宋体"/>
                <w:kern w:val="0"/>
                <w:szCs w:val="21"/>
              </w:rPr>
            </w:pPr>
            <w:r>
              <w:rPr>
                <w:rFonts w:hint="eastAsia" w:ascii="宋体" w:hAnsi="宋体" w:cs="宋体"/>
                <w:kern w:val="0"/>
                <w:szCs w:val="21"/>
              </w:rPr>
              <w:t>金融业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K</w:t>
            </w:r>
          </w:p>
        </w:tc>
        <w:tc>
          <w:tcPr>
            <w:tcW w:w="2069" w:type="pct"/>
            <w:vAlign w:val="center"/>
          </w:tcPr>
          <w:p>
            <w:pPr>
              <w:rPr>
                <w:rFonts w:ascii="宋体" w:hAnsi="宋体" w:cs="宋体"/>
                <w:kern w:val="0"/>
                <w:szCs w:val="21"/>
              </w:rPr>
            </w:pPr>
            <w:r>
              <w:rPr>
                <w:rFonts w:hint="eastAsia" w:ascii="宋体" w:hAnsi="宋体" w:cs="宋体"/>
                <w:kern w:val="0"/>
                <w:szCs w:val="21"/>
              </w:rPr>
              <w:t>房地产业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cs="宋体"/>
                <w:kern w:val="0"/>
                <w:szCs w:val="21"/>
              </w:rPr>
            </w:pPr>
            <w:r>
              <w:rPr>
                <w:rFonts w:ascii="宋体" w:hAnsi="宋体" w:cs="宋体"/>
                <w:kern w:val="0"/>
                <w:szCs w:val="21"/>
              </w:rPr>
              <w:t>L</w:t>
            </w:r>
          </w:p>
        </w:tc>
        <w:tc>
          <w:tcPr>
            <w:tcW w:w="2069" w:type="pct"/>
            <w:vAlign w:val="center"/>
          </w:tcPr>
          <w:p>
            <w:pPr>
              <w:rPr>
                <w:rFonts w:ascii="宋体" w:hAnsi="宋体" w:cs="宋体"/>
                <w:kern w:val="0"/>
                <w:szCs w:val="21"/>
              </w:rPr>
            </w:pPr>
            <w:r>
              <w:rPr>
                <w:rFonts w:hint="eastAsia" w:ascii="宋体" w:hAnsi="宋体" w:cs="宋体"/>
                <w:kern w:val="0"/>
                <w:szCs w:val="21"/>
              </w:rPr>
              <w:t>租赁和商务服务业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M</w:t>
            </w:r>
          </w:p>
        </w:tc>
        <w:tc>
          <w:tcPr>
            <w:tcW w:w="2069" w:type="pct"/>
            <w:vAlign w:val="center"/>
          </w:tcPr>
          <w:p>
            <w:pPr>
              <w:rPr>
                <w:rFonts w:ascii="宋体" w:hAnsi="宋体" w:cs="宋体"/>
                <w:kern w:val="0"/>
                <w:szCs w:val="21"/>
              </w:rPr>
            </w:pPr>
            <w:r>
              <w:rPr>
                <w:rFonts w:hint="eastAsia" w:ascii="宋体" w:hAnsi="宋体" w:cs="宋体"/>
                <w:kern w:val="0"/>
                <w:szCs w:val="21"/>
              </w:rPr>
              <w:t>科学研究和技术服务业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N</w:t>
            </w:r>
          </w:p>
        </w:tc>
        <w:tc>
          <w:tcPr>
            <w:tcW w:w="2069" w:type="pct"/>
            <w:vAlign w:val="center"/>
          </w:tcPr>
          <w:p>
            <w:pPr>
              <w:rPr>
                <w:rFonts w:ascii="宋体" w:hAnsi="宋体" w:cs="宋体"/>
                <w:kern w:val="0"/>
                <w:szCs w:val="21"/>
              </w:rPr>
            </w:pPr>
            <w:r>
              <w:rPr>
                <w:rFonts w:hint="eastAsia" w:ascii="宋体" w:hAnsi="宋体" w:cs="宋体"/>
                <w:kern w:val="0"/>
                <w:szCs w:val="21"/>
              </w:rPr>
              <w:t>水利、环境和公共设施管理业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O</w:t>
            </w:r>
          </w:p>
        </w:tc>
        <w:tc>
          <w:tcPr>
            <w:tcW w:w="2069" w:type="pct"/>
            <w:vAlign w:val="center"/>
          </w:tcPr>
          <w:p>
            <w:pPr>
              <w:rPr>
                <w:rFonts w:ascii="宋体" w:hAnsi="宋体" w:cs="宋体"/>
                <w:kern w:val="0"/>
                <w:szCs w:val="21"/>
              </w:rPr>
            </w:pPr>
            <w:r>
              <w:rPr>
                <w:rFonts w:hint="eastAsia" w:ascii="宋体" w:hAnsi="宋体" w:cs="宋体"/>
                <w:kern w:val="0"/>
                <w:szCs w:val="21"/>
              </w:rPr>
              <w:t>居民服务、修理和其他服务业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P</w:t>
            </w:r>
          </w:p>
        </w:tc>
        <w:tc>
          <w:tcPr>
            <w:tcW w:w="2069" w:type="pct"/>
            <w:vAlign w:val="center"/>
          </w:tcPr>
          <w:p>
            <w:pPr>
              <w:rPr>
                <w:rFonts w:ascii="宋体" w:hAnsi="宋体" w:cs="宋体"/>
                <w:kern w:val="0"/>
                <w:szCs w:val="21"/>
              </w:rPr>
            </w:pPr>
            <w:r>
              <w:rPr>
                <w:rFonts w:hint="eastAsia" w:ascii="宋体" w:hAnsi="宋体" w:cs="宋体"/>
                <w:kern w:val="0"/>
                <w:szCs w:val="21"/>
              </w:rPr>
              <w:t>教育</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Q</w:t>
            </w:r>
          </w:p>
        </w:tc>
        <w:tc>
          <w:tcPr>
            <w:tcW w:w="2069" w:type="pct"/>
            <w:vAlign w:val="center"/>
          </w:tcPr>
          <w:p>
            <w:pPr>
              <w:rPr>
                <w:rFonts w:ascii="宋体" w:hAnsi="宋体" w:cs="宋体"/>
                <w:kern w:val="0"/>
                <w:szCs w:val="21"/>
              </w:rPr>
            </w:pPr>
            <w:r>
              <w:rPr>
                <w:rFonts w:hint="eastAsia" w:ascii="宋体" w:hAnsi="宋体" w:cs="宋体"/>
                <w:kern w:val="0"/>
                <w:szCs w:val="21"/>
              </w:rPr>
              <w:t>卫生和社会工作</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R</w:t>
            </w:r>
          </w:p>
        </w:tc>
        <w:tc>
          <w:tcPr>
            <w:tcW w:w="2069" w:type="pct"/>
            <w:vAlign w:val="center"/>
          </w:tcPr>
          <w:p>
            <w:pPr>
              <w:rPr>
                <w:rFonts w:ascii="宋体" w:hAnsi="宋体" w:cs="宋体"/>
                <w:kern w:val="0"/>
                <w:szCs w:val="21"/>
              </w:rPr>
            </w:pPr>
            <w:r>
              <w:rPr>
                <w:rFonts w:hint="eastAsia" w:ascii="宋体" w:hAnsi="宋体" w:cs="宋体"/>
                <w:kern w:val="0"/>
                <w:szCs w:val="21"/>
              </w:rPr>
              <w:t>文化、体育和娱乐业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S</w:t>
            </w:r>
          </w:p>
        </w:tc>
        <w:tc>
          <w:tcPr>
            <w:tcW w:w="2069" w:type="pct"/>
            <w:vAlign w:val="center"/>
          </w:tcPr>
          <w:p>
            <w:pPr>
              <w:rPr>
                <w:rFonts w:ascii="宋体" w:hAnsi="宋体" w:cs="宋体"/>
                <w:kern w:val="0"/>
                <w:szCs w:val="21"/>
              </w:rPr>
            </w:pPr>
            <w:r>
              <w:rPr>
                <w:rFonts w:hint="eastAsia" w:ascii="宋体" w:hAnsi="宋体" w:cs="宋体"/>
                <w:kern w:val="0"/>
                <w:szCs w:val="21"/>
              </w:rPr>
              <w:t>综合</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p>
        </w:tc>
        <w:tc>
          <w:tcPr>
            <w:tcW w:w="2069" w:type="pct"/>
            <w:vAlign w:val="center"/>
          </w:tcPr>
          <w:p>
            <w:pPr>
              <w:rPr>
                <w:rFonts w:ascii="宋体" w:hAnsi="宋体" w:cs="宋体"/>
                <w:b/>
                <w:kern w:val="0"/>
                <w:szCs w:val="21"/>
              </w:rPr>
            </w:pPr>
            <w:r>
              <w:rPr>
                <w:rFonts w:hint="eastAsia" w:ascii="宋体" w:hAnsi="宋体" w:cs="宋体"/>
                <w:b/>
                <w:kern w:val="0"/>
                <w:szCs w:val="21"/>
              </w:rPr>
              <w:t>合计</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bl>
    <w:p>
      <w:pPr>
        <w:rPr>
          <w:rFonts w:ascii="宋体" w:hAnsi="宋体"/>
          <w:szCs w:val="21"/>
        </w:rPr>
      </w:pPr>
    </w:p>
    <w:p>
      <w:pPr>
        <w:pStyle w:val="27"/>
        <w:numPr>
          <w:ilvl w:val="0"/>
          <w:numId w:val="8"/>
        </w:numPr>
        <w:ind w:firstLineChars="0"/>
        <w:outlineLvl w:val="2"/>
        <w:rPr>
          <w:rFonts w:ascii="宋体" w:hAnsi="宋体"/>
          <w:szCs w:val="21"/>
        </w:rPr>
      </w:pPr>
      <w:r>
        <w:rPr>
          <w:rFonts w:hint="eastAsia" w:ascii="宋体" w:hAnsi="宋体"/>
          <w:szCs w:val="21"/>
        </w:rPr>
        <w:t>报告期末按行业分类的港股通投资股票投资组合</w:t>
      </w:r>
      <w:r>
        <w:rPr>
          <w:rFonts w:hint="eastAsia"/>
          <w:color w:val="000000"/>
          <w:szCs w:val="21"/>
          <w:shd w:val="clear" w:color="auto" w:fill="FFFFFF"/>
        </w:rPr>
        <w:t>（如有）</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jc w:val="center"/>
              <w:rPr>
                <w:rFonts w:ascii="宋体" w:hAnsi="宋体"/>
              </w:rPr>
            </w:pPr>
            <w:r>
              <w:rPr>
                <w:rFonts w:hint="eastAsia" w:ascii="宋体" w:hAnsi="宋体"/>
              </w:rPr>
              <w:t>行业类别</w:t>
            </w:r>
          </w:p>
        </w:tc>
        <w:tc>
          <w:tcPr>
            <w:tcW w:w="1667" w:type="pct"/>
          </w:tcPr>
          <w:p>
            <w:pPr>
              <w:jc w:val="center"/>
              <w:rPr>
                <w:rFonts w:ascii="宋体" w:hAnsi="宋体"/>
              </w:rPr>
            </w:pPr>
            <w:r>
              <w:rPr>
                <w:rFonts w:hint="eastAsia" w:ascii="宋体" w:hAnsi="宋体"/>
              </w:rPr>
              <w:t>公允价值（人民币）</w:t>
            </w:r>
          </w:p>
        </w:tc>
        <w:tc>
          <w:tcPr>
            <w:tcW w:w="1667" w:type="pct"/>
          </w:tcPr>
          <w:p>
            <w:pPr>
              <w:jc w:val="center"/>
              <w:rPr>
                <w:rFonts w:ascii="宋体" w:hAnsi="宋体"/>
              </w:rPr>
            </w:pPr>
            <w:r>
              <w:rPr>
                <w:rFonts w:hint="eastAsia" w:ascii="宋体" w:hAnsi="宋体"/>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666" w:type="pct"/>
          </w:tcPr>
          <w:p>
            <w:pPr>
              <w:rPr>
                <w:rFonts w:ascii="宋体" w:hAnsi="宋体"/>
              </w:rPr>
            </w:pPr>
            <w:r>
              <w:rPr>
                <w:rFonts w:ascii="宋体" w:hAnsi="宋体"/>
              </w:rPr>
              <w:t>港股通</w:t>
            </w:r>
          </w:p>
        </w:tc>
        <w:tc>
          <w:tcPr>
            <w:tcW w:w="1667" w:type="pct"/>
          </w:tcPr>
          <w:p>
            <w:pPr>
              <w:jc w:val="right"/>
              <w:rPr>
                <w:rFonts w:ascii="宋体" w:hAnsi="宋体"/>
              </w:rPr>
            </w:pPr>
            <w:r>
              <w:rPr>
                <w:rFonts w:ascii="宋体" w:hAnsi="宋体"/>
              </w:rPr>
              <w:t>0.00</w:t>
            </w:r>
          </w:p>
        </w:tc>
        <w:tc>
          <w:tcPr>
            <w:tcW w:w="1667" w:type="pct"/>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666" w:type="pct"/>
          </w:tcPr>
          <w:p>
            <w:pPr>
              <w:rPr>
                <w:rFonts w:ascii="宋体" w:hAnsi="宋体"/>
              </w:rPr>
            </w:pPr>
            <w:r>
              <w:rPr>
                <w:rFonts w:ascii="宋体" w:hAnsi="宋体"/>
              </w:rPr>
              <w:t>-</w:t>
            </w:r>
          </w:p>
        </w:tc>
        <w:tc>
          <w:tcPr>
            <w:tcW w:w="1667" w:type="pct"/>
          </w:tcPr>
          <w:p>
            <w:pPr>
              <w:jc w:val="right"/>
              <w:rPr>
                <w:rFonts w:ascii="宋体" w:hAnsi="宋体"/>
              </w:rPr>
            </w:pPr>
            <w:r>
              <w:rPr>
                <w:rFonts w:ascii="宋体" w:hAnsi="宋体"/>
              </w:rPr>
              <w:t>-</w:t>
            </w:r>
          </w:p>
        </w:tc>
        <w:tc>
          <w:tcPr>
            <w:tcW w:w="1667" w:type="pct"/>
          </w:tcPr>
          <w:p>
            <w:pPr>
              <w:jc w:val="right"/>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666" w:type="pct"/>
          </w:tcPr>
          <w:p>
            <w:pPr>
              <w:jc w:val="left"/>
              <w:rPr>
                <w:rFonts w:ascii="宋体" w:hAnsi="宋体"/>
              </w:rPr>
            </w:pPr>
            <w:r>
              <w:rPr>
                <w:rFonts w:hint="eastAsia" w:ascii="宋体" w:hAnsi="宋体"/>
              </w:rPr>
              <w:t>合计</w:t>
            </w:r>
          </w:p>
        </w:tc>
        <w:tc>
          <w:tcPr>
            <w:tcW w:w="1667" w:type="pct"/>
          </w:tcPr>
          <w:p>
            <w:pPr>
              <w:jc w:val="right"/>
              <w:rPr>
                <w:rFonts w:ascii="宋体" w:hAnsi="宋体"/>
              </w:rPr>
            </w:pPr>
            <w:r>
              <w:rPr>
                <w:rFonts w:ascii="宋体" w:hAnsi="宋体"/>
              </w:rPr>
              <w:t>0.00</w:t>
            </w:r>
          </w:p>
        </w:tc>
        <w:tc>
          <w:tcPr>
            <w:tcW w:w="1667" w:type="pct"/>
          </w:tcPr>
          <w:p>
            <w:pPr>
              <w:jc w:val="right"/>
              <w:rPr>
                <w:rFonts w:ascii="宋体" w:hAnsi="宋体"/>
              </w:rPr>
            </w:pPr>
            <w:r>
              <w:rPr>
                <w:rFonts w:ascii="宋体" w:hAnsi="宋体"/>
              </w:rPr>
              <w:t>0.00</w:t>
            </w:r>
          </w:p>
        </w:tc>
      </w:tr>
    </w:tbl>
    <w:p>
      <w:pPr>
        <w:rPr>
          <w:rFonts w:ascii="宋体" w:hAnsi="宋体"/>
          <w:szCs w:val="21"/>
        </w:rPr>
      </w:pPr>
    </w:p>
    <w:p>
      <w:pPr>
        <w:pStyle w:val="2"/>
        <w:numPr>
          <w:ilvl w:val="0"/>
          <w:numId w:val="1"/>
        </w:numPr>
      </w:pPr>
      <w:r>
        <w:rPr>
          <w:rFonts w:hint="eastAsia" w:ascii="宋体" w:hAnsi="宋体"/>
          <w:szCs w:val="21"/>
        </w:rPr>
        <w:t>信息披露报告</w:t>
      </w:r>
    </w:p>
    <w:p>
      <w:r>
        <w:rPr>
          <w:rFonts w:hint="eastAsia"/>
        </w:rPr>
        <w:t>信息</w:t>
      </w:r>
      <w:r>
        <w:t>披露报告是否经托管机构</w:t>
      </w:r>
      <w:r>
        <w:rPr>
          <w:rFonts w:hint="eastAsia"/>
        </w:rPr>
        <w:t>复核：是</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4</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E4A54"/>
    <w:multiLevelType w:val="multilevel"/>
    <w:tmpl w:val="01DE4A54"/>
    <w:lvl w:ilvl="0" w:tentative="0">
      <w:start w:val="1"/>
      <w:numFmt w:val="decimal"/>
      <w:lvlText w:val="1.%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04F90498"/>
    <w:multiLevelType w:val="multilevel"/>
    <w:tmpl w:val="04F90498"/>
    <w:lvl w:ilvl="0" w:tentative="0">
      <w:start w:val="1"/>
      <w:numFmt w:val="decimal"/>
      <w:lvlText w:val="2.%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14CF040F"/>
    <w:multiLevelType w:val="multilevel"/>
    <w:tmpl w:val="14CF040F"/>
    <w:lvl w:ilvl="0" w:tentative="0">
      <w:start w:val="1"/>
      <w:numFmt w:val="decimal"/>
      <w:lvlText w:val="7.%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1A92A6B3"/>
    <w:multiLevelType w:val="singleLevel"/>
    <w:tmpl w:val="1A92A6B3"/>
    <w:lvl w:ilvl="0" w:tentative="0">
      <w:start w:val="1"/>
      <w:numFmt w:val="decimal"/>
      <w:suff w:val="nothing"/>
      <w:lvlText w:val="（%1）"/>
      <w:lvlJc w:val="left"/>
    </w:lvl>
  </w:abstractNum>
  <w:abstractNum w:abstractNumId="4">
    <w:nsid w:val="3656387F"/>
    <w:multiLevelType w:val="multilevel"/>
    <w:tmpl w:val="3656387F"/>
    <w:lvl w:ilvl="0" w:tentative="0">
      <w:start w:val="1"/>
      <w:numFmt w:val="decimal"/>
      <w:lvlText w:val="5.%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44982E26"/>
    <w:multiLevelType w:val="multilevel"/>
    <w:tmpl w:val="44982E26"/>
    <w:lvl w:ilvl="0" w:tentative="0">
      <w:start w:val="1"/>
      <w:numFmt w:val="decimal"/>
      <w:lvlText w:val="7.2.%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45742ADB"/>
    <w:multiLevelType w:val="multilevel"/>
    <w:tmpl w:val="45742ADB"/>
    <w:lvl w:ilvl="0" w:tentative="0">
      <w:start w:val="1"/>
      <w:numFmt w:val="decimal"/>
      <w:lvlText w:val="%1、"/>
      <w:lvlJc w:val="left"/>
      <w:pPr>
        <w:ind w:left="425" w:hanging="425"/>
      </w:pPr>
      <w:rPr>
        <w:rFonts w:hint="eastAsia" w:ascii="宋体" w:hAnsi="宋体" w:eastAsia="宋体"/>
        <w:b/>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7C4F399A"/>
    <w:multiLevelType w:val="multilevel"/>
    <w:tmpl w:val="7C4F399A"/>
    <w:lvl w:ilvl="0" w:tentative="0">
      <w:start w:val="1"/>
      <w:numFmt w:val="decimal"/>
      <w:lvlText w:val="6.%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6"/>
  </w:num>
  <w:num w:numId="2">
    <w:abstractNumId w:val="0"/>
  </w:num>
  <w:num w:numId="3">
    <w:abstractNumId w:val="1"/>
  </w:num>
  <w:num w:numId="4">
    <w:abstractNumId w:val="3"/>
  </w:num>
  <w:num w:numId="5">
    <w:abstractNumId w:val="4"/>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iZWNkYmMyNjI2OTM0Zjg5NDdkZGUwNWY3OWVmNjQifQ=="/>
    <w:docVar w:name="Disclosure_Version" w:val="true"/>
  </w:docVars>
  <w:rsids>
    <w:rsidRoot w:val="00172A27"/>
    <w:rsid w:val="000008F9"/>
    <w:rsid w:val="000012BA"/>
    <w:rsid w:val="0001269E"/>
    <w:rsid w:val="00015D3E"/>
    <w:rsid w:val="00020520"/>
    <w:rsid w:val="00021961"/>
    <w:rsid w:val="000325A5"/>
    <w:rsid w:val="00035DC8"/>
    <w:rsid w:val="00036309"/>
    <w:rsid w:val="00037D33"/>
    <w:rsid w:val="00040E9A"/>
    <w:rsid w:val="00041B2D"/>
    <w:rsid w:val="00046E81"/>
    <w:rsid w:val="00050A1C"/>
    <w:rsid w:val="000537F9"/>
    <w:rsid w:val="00053EA9"/>
    <w:rsid w:val="00061E7A"/>
    <w:rsid w:val="00062C59"/>
    <w:rsid w:val="00067262"/>
    <w:rsid w:val="000705DC"/>
    <w:rsid w:val="000717BB"/>
    <w:rsid w:val="00077EA5"/>
    <w:rsid w:val="000829B3"/>
    <w:rsid w:val="0008323D"/>
    <w:rsid w:val="000842B6"/>
    <w:rsid w:val="00086BF9"/>
    <w:rsid w:val="00087173"/>
    <w:rsid w:val="00091276"/>
    <w:rsid w:val="00093EC0"/>
    <w:rsid w:val="000A1559"/>
    <w:rsid w:val="000A3D47"/>
    <w:rsid w:val="000A4859"/>
    <w:rsid w:val="000A5662"/>
    <w:rsid w:val="000B0231"/>
    <w:rsid w:val="000B1941"/>
    <w:rsid w:val="000B2C52"/>
    <w:rsid w:val="000B408F"/>
    <w:rsid w:val="000B47FB"/>
    <w:rsid w:val="000B65D9"/>
    <w:rsid w:val="000C1135"/>
    <w:rsid w:val="000C1BF6"/>
    <w:rsid w:val="000C1D3E"/>
    <w:rsid w:val="000C29F1"/>
    <w:rsid w:val="000C57B6"/>
    <w:rsid w:val="000C7388"/>
    <w:rsid w:val="000C7FC7"/>
    <w:rsid w:val="000D1E16"/>
    <w:rsid w:val="000D3945"/>
    <w:rsid w:val="000D5F49"/>
    <w:rsid w:val="000D5F97"/>
    <w:rsid w:val="000D77B0"/>
    <w:rsid w:val="000E250B"/>
    <w:rsid w:val="000E308B"/>
    <w:rsid w:val="000E7635"/>
    <w:rsid w:val="000E77AD"/>
    <w:rsid w:val="000F0783"/>
    <w:rsid w:val="000F1729"/>
    <w:rsid w:val="000F4466"/>
    <w:rsid w:val="0010103D"/>
    <w:rsid w:val="00103F57"/>
    <w:rsid w:val="00105ED8"/>
    <w:rsid w:val="001065F0"/>
    <w:rsid w:val="00114BED"/>
    <w:rsid w:val="00114EEA"/>
    <w:rsid w:val="001173B0"/>
    <w:rsid w:val="00121241"/>
    <w:rsid w:val="00122FBF"/>
    <w:rsid w:val="001235BA"/>
    <w:rsid w:val="00125F9C"/>
    <w:rsid w:val="0013013C"/>
    <w:rsid w:val="00131952"/>
    <w:rsid w:val="001346B8"/>
    <w:rsid w:val="00135F79"/>
    <w:rsid w:val="0013710E"/>
    <w:rsid w:val="00147487"/>
    <w:rsid w:val="001474A8"/>
    <w:rsid w:val="001508BC"/>
    <w:rsid w:val="0015186A"/>
    <w:rsid w:val="001532BE"/>
    <w:rsid w:val="001550CA"/>
    <w:rsid w:val="001605D6"/>
    <w:rsid w:val="00160AFC"/>
    <w:rsid w:val="00161171"/>
    <w:rsid w:val="0016423D"/>
    <w:rsid w:val="00165211"/>
    <w:rsid w:val="0016735C"/>
    <w:rsid w:val="00172A27"/>
    <w:rsid w:val="0017316E"/>
    <w:rsid w:val="001765A3"/>
    <w:rsid w:val="00182A85"/>
    <w:rsid w:val="001877F4"/>
    <w:rsid w:val="00196884"/>
    <w:rsid w:val="001A05F6"/>
    <w:rsid w:val="001A3574"/>
    <w:rsid w:val="001A6FA4"/>
    <w:rsid w:val="001A75E5"/>
    <w:rsid w:val="001A7B47"/>
    <w:rsid w:val="001A7DC5"/>
    <w:rsid w:val="001B1348"/>
    <w:rsid w:val="001B3414"/>
    <w:rsid w:val="001B6958"/>
    <w:rsid w:val="001C0514"/>
    <w:rsid w:val="001C0DBE"/>
    <w:rsid w:val="001C2432"/>
    <w:rsid w:val="001C3226"/>
    <w:rsid w:val="001C4F0D"/>
    <w:rsid w:val="001C6C50"/>
    <w:rsid w:val="001C7D1C"/>
    <w:rsid w:val="001D1ED3"/>
    <w:rsid w:val="001D35D9"/>
    <w:rsid w:val="001D5927"/>
    <w:rsid w:val="001D75D8"/>
    <w:rsid w:val="001E3696"/>
    <w:rsid w:val="001E65C1"/>
    <w:rsid w:val="001F1310"/>
    <w:rsid w:val="001F5047"/>
    <w:rsid w:val="00210A0B"/>
    <w:rsid w:val="00211D22"/>
    <w:rsid w:val="0022315A"/>
    <w:rsid w:val="00224373"/>
    <w:rsid w:val="00225995"/>
    <w:rsid w:val="00230FBF"/>
    <w:rsid w:val="00231F05"/>
    <w:rsid w:val="0023351E"/>
    <w:rsid w:val="00233D4E"/>
    <w:rsid w:val="0023641B"/>
    <w:rsid w:val="00237056"/>
    <w:rsid w:val="00240EC7"/>
    <w:rsid w:val="002411B2"/>
    <w:rsid w:val="00250F3D"/>
    <w:rsid w:val="00262021"/>
    <w:rsid w:val="00266393"/>
    <w:rsid w:val="00266BF5"/>
    <w:rsid w:val="002670E6"/>
    <w:rsid w:val="002677F5"/>
    <w:rsid w:val="00275F25"/>
    <w:rsid w:val="002762C1"/>
    <w:rsid w:val="002804F0"/>
    <w:rsid w:val="00283B77"/>
    <w:rsid w:val="0029143C"/>
    <w:rsid w:val="002923ED"/>
    <w:rsid w:val="00292EB0"/>
    <w:rsid w:val="00297A08"/>
    <w:rsid w:val="002A1464"/>
    <w:rsid w:val="002A347A"/>
    <w:rsid w:val="002A3C0E"/>
    <w:rsid w:val="002A59E0"/>
    <w:rsid w:val="002A745E"/>
    <w:rsid w:val="002B0CCD"/>
    <w:rsid w:val="002B29B3"/>
    <w:rsid w:val="002B7CF2"/>
    <w:rsid w:val="002C0785"/>
    <w:rsid w:val="002C2B2D"/>
    <w:rsid w:val="002C429B"/>
    <w:rsid w:val="002C49C6"/>
    <w:rsid w:val="002C5C8D"/>
    <w:rsid w:val="002C7524"/>
    <w:rsid w:val="002D03C8"/>
    <w:rsid w:val="002D0406"/>
    <w:rsid w:val="002D2BE2"/>
    <w:rsid w:val="002D2F50"/>
    <w:rsid w:val="002E076A"/>
    <w:rsid w:val="002F230E"/>
    <w:rsid w:val="002F5F7E"/>
    <w:rsid w:val="0030033E"/>
    <w:rsid w:val="00300AE4"/>
    <w:rsid w:val="003013A0"/>
    <w:rsid w:val="00305EFA"/>
    <w:rsid w:val="00306265"/>
    <w:rsid w:val="0031169D"/>
    <w:rsid w:val="00312020"/>
    <w:rsid w:val="003142CB"/>
    <w:rsid w:val="00321055"/>
    <w:rsid w:val="003218CF"/>
    <w:rsid w:val="003222F9"/>
    <w:rsid w:val="003227EE"/>
    <w:rsid w:val="003260E6"/>
    <w:rsid w:val="00326885"/>
    <w:rsid w:val="003355F9"/>
    <w:rsid w:val="00335E28"/>
    <w:rsid w:val="003366CC"/>
    <w:rsid w:val="003370A1"/>
    <w:rsid w:val="00352B5A"/>
    <w:rsid w:val="00352D47"/>
    <w:rsid w:val="0035492F"/>
    <w:rsid w:val="00355C85"/>
    <w:rsid w:val="0035686C"/>
    <w:rsid w:val="00357663"/>
    <w:rsid w:val="00367F87"/>
    <w:rsid w:val="00372A7B"/>
    <w:rsid w:val="003822DE"/>
    <w:rsid w:val="0038373D"/>
    <w:rsid w:val="00383E21"/>
    <w:rsid w:val="00385D31"/>
    <w:rsid w:val="00386386"/>
    <w:rsid w:val="00393FFC"/>
    <w:rsid w:val="0039552E"/>
    <w:rsid w:val="00396977"/>
    <w:rsid w:val="003A5A52"/>
    <w:rsid w:val="003B3420"/>
    <w:rsid w:val="003B621A"/>
    <w:rsid w:val="003C2B64"/>
    <w:rsid w:val="003C428A"/>
    <w:rsid w:val="003C62E0"/>
    <w:rsid w:val="003C6D46"/>
    <w:rsid w:val="003D6062"/>
    <w:rsid w:val="003E266A"/>
    <w:rsid w:val="003E5CEB"/>
    <w:rsid w:val="003E671B"/>
    <w:rsid w:val="003F0436"/>
    <w:rsid w:val="003F3A4A"/>
    <w:rsid w:val="003F3A98"/>
    <w:rsid w:val="003F730E"/>
    <w:rsid w:val="00400772"/>
    <w:rsid w:val="00403B4B"/>
    <w:rsid w:val="00412073"/>
    <w:rsid w:val="00414B45"/>
    <w:rsid w:val="00420384"/>
    <w:rsid w:val="00420E7C"/>
    <w:rsid w:val="00423F40"/>
    <w:rsid w:val="00425ADA"/>
    <w:rsid w:val="00425AE3"/>
    <w:rsid w:val="00427307"/>
    <w:rsid w:val="0042789D"/>
    <w:rsid w:val="00431394"/>
    <w:rsid w:val="00432385"/>
    <w:rsid w:val="0043364D"/>
    <w:rsid w:val="0044010A"/>
    <w:rsid w:val="00440A24"/>
    <w:rsid w:val="00443F8C"/>
    <w:rsid w:val="00444CAD"/>
    <w:rsid w:val="004470AC"/>
    <w:rsid w:val="0045585B"/>
    <w:rsid w:val="00461FDF"/>
    <w:rsid w:val="004621B7"/>
    <w:rsid w:val="00467DBF"/>
    <w:rsid w:val="00470374"/>
    <w:rsid w:val="004748B0"/>
    <w:rsid w:val="00475454"/>
    <w:rsid w:val="004754C7"/>
    <w:rsid w:val="004813E8"/>
    <w:rsid w:val="00492248"/>
    <w:rsid w:val="004B1543"/>
    <w:rsid w:val="004B228C"/>
    <w:rsid w:val="004B2E2D"/>
    <w:rsid w:val="004B304B"/>
    <w:rsid w:val="004B3E0E"/>
    <w:rsid w:val="004B5C9E"/>
    <w:rsid w:val="004C35CB"/>
    <w:rsid w:val="004C3B83"/>
    <w:rsid w:val="004C60F3"/>
    <w:rsid w:val="004C66A7"/>
    <w:rsid w:val="004C66F1"/>
    <w:rsid w:val="004D216B"/>
    <w:rsid w:val="004D369B"/>
    <w:rsid w:val="004E07BA"/>
    <w:rsid w:val="004E3FA4"/>
    <w:rsid w:val="004E5D59"/>
    <w:rsid w:val="004F025F"/>
    <w:rsid w:val="004F061D"/>
    <w:rsid w:val="004F3C6B"/>
    <w:rsid w:val="00501645"/>
    <w:rsid w:val="00502CB6"/>
    <w:rsid w:val="0050375C"/>
    <w:rsid w:val="00503D66"/>
    <w:rsid w:val="00504137"/>
    <w:rsid w:val="00504E94"/>
    <w:rsid w:val="005050D4"/>
    <w:rsid w:val="00510A05"/>
    <w:rsid w:val="00513441"/>
    <w:rsid w:val="0051417B"/>
    <w:rsid w:val="005151A0"/>
    <w:rsid w:val="00520183"/>
    <w:rsid w:val="00526E1B"/>
    <w:rsid w:val="00534395"/>
    <w:rsid w:val="0053673E"/>
    <w:rsid w:val="0055130B"/>
    <w:rsid w:val="00554154"/>
    <w:rsid w:val="00554947"/>
    <w:rsid w:val="0056009A"/>
    <w:rsid w:val="00560CC5"/>
    <w:rsid w:val="00565BAD"/>
    <w:rsid w:val="005720B4"/>
    <w:rsid w:val="00580AAF"/>
    <w:rsid w:val="00581B47"/>
    <w:rsid w:val="00583A07"/>
    <w:rsid w:val="00587C0A"/>
    <w:rsid w:val="00592050"/>
    <w:rsid w:val="00593464"/>
    <w:rsid w:val="00593B35"/>
    <w:rsid w:val="00594555"/>
    <w:rsid w:val="00594A12"/>
    <w:rsid w:val="00594E30"/>
    <w:rsid w:val="005A1AD1"/>
    <w:rsid w:val="005A2836"/>
    <w:rsid w:val="005A4BA6"/>
    <w:rsid w:val="005A6B1A"/>
    <w:rsid w:val="005A716F"/>
    <w:rsid w:val="005B23CD"/>
    <w:rsid w:val="005B268D"/>
    <w:rsid w:val="005C6DD3"/>
    <w:rsid w:val="005D095E"/>
    <w:rsid w:val="005D2742"/>
    <w:rsid w:val="005D2BC7"/>
    <w:rsid w:val="005D329C"/>
    <w:rsid w:val="005D4C98"/>
    <w:rsid w:val="005D7A5F"/>
    <w:rsid w:val="005E4015"/>
    <w:rsid w:val="005F2DBE"/>
    <w:rsid w:val="006054BA"/>
    <w:rsid w:val="00611E7B"/>
    <w:rsid w:val="00612A98"/>
    <w:rsid w:val="00615DB5"/>
    <w:rsid w:val="00617897"/>
    <w:rsid w:val="00620324"/>
    <w:rsid w:val="006206B8"/>
    <w:rsid w:val="0062209B"/>
    <w:rsid w:val="00622C40"/>
    <w:rsid w:val="00624F15"/>
    <w:rsid w:val="00625CFF"/>
    <w:rsid w:val="00626A37"/>
    <w:rsid w:val="00626EBD"/>
    <w:rsid w:val="00630AED"/>
    <w:rsid w:val="006323EC"/>
    <w:rsid w:val="00633E68"/>
    <w:rsid w:val="00634C95"/>
    <w:rsid w:val="006352BC"/>
    <w:rsid w:val="00643966"/>
    <w:rsid w:val="00647DB1"/>
    <w:rsid w:val="0065504D"/>
    <w:rsid w:val="006620B6"/>
    <w:rsid w:val="00665C67"/>
    <w:rsid w:val="0068192F"/>
    <w:rsid w:val="00681B6C"/>
    <w:rsid w:val="00685E5F"/>
    <w:rsid w:val="0069192B"/>
    <w:rsid w:val="006A1A6E"/>
    <w:rsid w:val="006A672F"/>
    <w:rsid w:val="006A6E41"/>
    <w:rsid w:val="006B1283"/>
    <w:rsid w:val="006B6D2F"/>
    <w:rsid w:val="006C022D"/>
    <w:rsid w:val="006C02A8"/>
    <w:rsid w:val="006C1263"/>
    <w:rsid w:val="006C15A7"/>
    <w:rsid w:val="006C26AE"/>
    <w:rsid w:val="006C733D"/>
    <w:rsid w:val="006D0E43"/>
    <w:rsid w:val="006D2B90"/>
    <w:rsid w:val="006D2ED9"/>
    <w:rsid w:val="006D4DA2"/>
    <w:rsid w:val="006E6F9F"/>
    <w:rsid w:val="006F0EA8"/>
    <w:rsid w:val="006F1EEE"/>
    <w:rsid w:val="006F3194"/>
    <w:rsid w:val="00702611"/>
    <w:rsid w:val="00704554"/>
    <w:rsid w:val="00704755"/>
    <w:rsid w:val="00710AF7"/>
    <w:rsid w:val="007120DD"/>
    <w:rsid w:val="00712818"/>
    <w:rsid w:val="007157A3"/>
    <w:rsid w:val="0071676E"/>
    <w:rsid w:val="00716F13"/>
    <w:rsid w:val="00717D6C"/>
    <w:rsid w:val="007247D2"/>
    <w:rsid w:val="007263BA"/>
    <w:rsid w:val="00731247"/>
    <w:rsid w:val="0073636E"/>
    <w:rsid w:val="0073733C"/>
    <w:rsid w:val="00740516"/>
    <w:rsid w:val="00740DC6"/>
    <w:rsid w:val="007512C4"/>
    <w:rsid w:val="00751FC3"/>
    <w:rsid w:val="00753D48"/>
    <w:rsid w:val="00754AA0"/>
    <w:rsid w:val="00755327"/>
    <w:rsid w:val="00756676"/>
    <w:rsid w:val="00756D53"/>
    <w:rsid w:val="007578ED"/>
    <w:rsid w:val="00760DF3"/>
    <w:rsid w:val="00761254"/>
    <w:rsid w:val="007641AD"/>
    <w:rsid w:val="00765E27"/>
    <w:rsid w:val="00770F10"/>
    <w:rsid w:val="0077206B"/>
    <w:rsid w:val="007729C8"/>
    <w:rsid w:val="00774C9D"/>
    <w:rsid w:val="007825D1"/>
    <w:rsid w:val="00782734"/>
    <w:rsid w:val="007848CE"/>
    <w:rsid w:val="0079424A"/>
    <w:rsid w:val="007948FA"/>
    <w:rsid w:val="00795914"/>
    <w:rsid w:val="007A1A7D"/>
    <w:rsid w:val="007A220B"/>
    <w:rsid w:val="007B0CCC"/>
    <w:rsid w:val="007B30BA"/>
    <w:rsid w:val="007B3F69"/>
    <w:rsid w:val="007B56F6"/>
    <w:rsid w:val="007B7584"/>
    <w:rsid w:val="007C06F4"/>
    <w:rsid w:val="007C0F88"/>
    <w:rsid w:val="007C2BE7"/>
    <w:rsid w:val="007D040C"/>
    <w:rsid w:val="007D2094"/>
    <w:rsid w:val="007D4055"/>
    <w:rsid w:val="007E0403"/>
    <w:rsid w:val="007E0760"/>
    <w:rsid w:val="007E370D"/>
    <w:rsid w:val="007E65EE"/>
    <w:rsid w:val="007E7007"/>
    <w:rsid w:val="007F1B61"/>
    <w:rsid w:val="007F262D"/>
    <w:rsid w:val="007F379D"/>
    <w:rsid w:val="007F56FB"/>
    <w:rsid w:val="00803CD5"/>
    <w:rsid w:val="0080527B"/>
    <w:rsid w:val="00813302"/>
    <w:rsid w:val="0081363D"/>
    <w:rsid w:val="008171C6"/>
    <w:rsid w:val="008176A3"/>
    <w:rsid w:val="00821C00"/>
    <w:rsid w:val="00823381"/>
    <w:rsid w:val="00823E07"/>
    <w:rsid w:val="00824426"/>
    <w:rsid w:val="00825451"/>
    <w:rsid w:val="008272BE"/>
    <w:rsid w:val="00831491"/>
    <w:rsid w:val="008321C0"/>
    <w:rsid w:val="00845CC9"/>
    <w:rsid w:val="008466E5"/>
    <w:rsid w:val="00851F77"/>
    <w:rsid w:val="008536F0"/>
    <w:rsid w:val="00862058"/>
    <w:rsid w:val="00862AC4"/>
    <w:rsid w:val="00863F6E"/>
    <w:rsid w:val="00867B82"/>
    <w:rsid w:val="0087049E"/>
    <w:rsid w:val="00871341"/>
    <w:rsid w:val="00873457"/>
    <w:rsid w:val="00883557"/>
    <w:rsid w:val="008836F6"/>
    <w:rsid w:val="008870E9"/>
    <w:rsid w:val="00887173"/>
    <w:rsid w:val="00887636"/>
    <w:rsid w:val="00887DC3"/>
    <w:rsid w:val="00893205"/>
    <w:rsid w:val="008933AE"/>
    <w:rsid w:val="008962AC"/>
    <w:rsid w:val="008970FB"/>
    <w:rsid w:val="008A0E1E"/>
    <w:rsid w:val="008A13EB"/>
    <w:rsid w:val="008A6871"/>
    <w:rsid w:val="008B2BBC"/>
    <w:rsid w:val="008B52EA"/>
    <w:rsid w:val="008B5E15"/>
    <w:rsid w:val="008C0934"/>
    <w:rsid w:val="008C13C9"/>
    <w:rsid w:val="008C20BD"/>
    <w:rsid w:val="008C5BA9"/>
    <w:rsid w:val="008C6CDC"/>
    <w:rsid w:val="008D1122"/>
    <w:rsid w:val="008D2BB2"/>
    <w:rsid w:val="008E1BF8"/>
    <w:rsid w:val="008E4F6C"/>
    <w:rsid w:val="008E780F"/>
    <w:rsid w:val="008F045D"/>
    <w:rsid w:val="008F0F92"/>
    <w:rsid w:val="008F1EDE"/>
    <w:rsid w:val="008F39F3"/>
    <w:rsid w:val="009007DF"/>
    <w:rsid w:val="009047A0"/>
    <w:rsid w:val="009057B5"/>
    <w:rsid w:val="00905D35"/>
    <w:rsid w:val="00906FCE"/>
    <w:rsid w:val="00907447"/>
    <w:rsid w:val="00907BAB"/>
    <w:rsid w:val="00907F84"/>
    <w:rsid w:val="009106EA"/>
    <w:rsid w:val="009175DE"/>
    <w:rsid w:val="00917D18"/>
    <w:rsid w:val="0092565E"/>
    <w:rsid w:val="009258B3"/>
    <w:rsid w:val="00926868"/>
    <w:rsid w:val="00926885"/>
    <w:rsid w:val="00926F51"/>
    <w:rsid w:val="0093226A"/>
    <w:rsid w:val="00940C12"/>
    <w:rsid w:val="00940C4A"/>
    <w:rsid w:val="009416F7"/>
    <w:rsid w:val="0094493A"/>
    <w:rsid w:val="009453F7"/>
    <w:rsid w:val="00950584"/>
    <w:rsid w:val="009521F8"/>
    <w:rsid w:val="00954D64"/>
    <w:rsid w:val="009550C2"/>
    <w:rsid w:val="009572C3"/>
    <w:rsid w:val="00965098"/>
    <w:rsid w:val="00965FE8"/>
    <w:rsid w:val="009679D0"/>
    <w:rsid w:val="009708B7"/>
    <w:rsid w:val="00971D98"/>
    <w:rsid w:val="0097383D"/>
    <w:rsid w:val="00974A6A"/>
    <w:rsid w:val="00975760"/>
    <w:rsid w:val="00976065"/>
    <w:rsid w:val="00980E37"/>
    <w:rsid w:val="009853D9"/>
    <w:rsid w:val="0098622B"/>
    <w:rsid w:val="009940D1"/>
    <w:rsid w:val="009979CE"/>
    <w:rsid w:val="009A4851"/>
    <w:rsid w:val="009A4F31"/>
    <w:rsid w:val="009A637E"/>
    <w:rsid w:val="009A6EB9"/>
    <w:rsid w:val="009B0795"/>
    <w:rsid w:val="009B0F69"/>
    <w:rsid w:val="009B16E9"/>
    <w:rsid w:val="009B26B7"/>
    <w:rsid w:val="009B2E2C"/>
    <w:rsid w:val="009B32FC"/>
    <w:rsid w:val="009B794B"/>
    <w:rsid w:val="009C36B3"/>
    <w:rsid w:val="009D0409"/>
    <w:rsid w:val="009D249B"/>
    <w:rsid w:val="009D3839"/>
    <w:rsid w:val="009E3F38"/>
    <w:rsid w:val="009E4E22"/>
    <w:rsid w:val="009E5A0D"/>
    <w:rsid w:val="009E67D8"/>
    <w:rsid w:val="009F151D"/>
    <w:rsid w:val="009F3439"/>
    <w:rsid w:val="009F4E66"/>
    <w:rsid w:val="009F5D47"/>
    <w:rsid w:val="00A01111"/>
    <w:rsid w:val="00A0429B"/>
    <w:rsid w:val="00A06EC5"/>
    <w:rsid w:val="00A12226"/>
    <w:rsid w:val="00A13574"/>
    <w:rsid w:val="00A1441E"/>
    <w:rsid w:val="00A15155"/>
    <w:rsid w:val="00A17653"/>
    <w:rsid w:val="00A20854"/>
    <w:rsid w:val="00A23625"/>
    <w:rsid w:val="00A26D80"/>
    <w:rsid w:val="00A27DE4"/>
    <w:rsid w:val="00A27F9C"/>
    <w:rsid w:val="00A302A5"/>
    <w:rsid w:val="00A31605"/>
    <w:rsid w:val="00A31943"/>
    <w:rsid w:val="00A32674"/>
    <w:rsid w:val="00A34F66"/>
    <w:rsid w:val="00A37D4A"/>
    <w:rsid w:val="00A4113E"/>
    <w:rsid w:val="00A4594C"/>
    <w:rsid w:val="00A46F92"/>
    <w:rsid w:val="00A47B36"/>
    <w:rsid w:val="00A51BB3"/>
    <w:rsid w:val="00A52857"/>
    <w:rsid w:val="00A54974"/>
    <w:rsid w:val="00A56B7C"/>
    <w:rsid w:val="00A62FC6"/>
    <w:rsid w:val="00A70D89"/>
    <w:rsid w:val="00A71B9E"/>
    <w:rsid w:val="00A74F07"/>
    <w:rsid w:val="00A80D78"/>
    <w:rsid w:val="00A816EF"/>
    <w:rsid w:val="00A82477"/>
    <w:rsid w:val="00A835E2"/>
    <w:rsid w:val="00A83AFB"/>
    <w:rsid w:val="00A84E11"/>
    <w:rsid w:val="00A85109"/>
    <w:rsid w:val="00A85F8C"/>
    <w:rsid w:val="00A90B78"/>
    <w:rsid w:val="00A91A38"/>
    <w:rsid w:val="00A94142"/>
    <w:rsid w:val="00A9459B"/>
    <w:rsid w:val="00A953BA"/>
    <w:rsid w:val="00A970A6"/>
    <w:rsid w:val="00AA0BA9"/>
    <w:rsid w:val="00AA32F3"/>
    <w:rsid w:val="00AB1555"/>
    <w:rsid w:val="00AB21B0"/>
    <w:rsid w:val="00AC1C74"/>
    <w:rsid w:val="00AC2778"/>
    <w:rsid w:val="00AC2E3E"/>
    <w:rsid w:val="00AC2E5A"/>
    <w:rsid w:val="00AC3DD6"/>
    <w:rsid w:val="00AC51FA"/>
    <w:rsid w:val="00AD366E"/>
    <w:rsid w:val="00AD40DA"/>
    <w:rsid w:val="00AD42CF"/>
    <w:rsid w:val="00AD6F0E"/>
    <w:rsid w:val="00AD7B77"/>
    <w:rsid w:val="00AE0B01"/>
    <w:rsid w:val="00AE126F"/>
    <w:rsid w:val="00AE3457"/>
    <w:rsid w:val="00AE5FD5"/>
    <w:rsid w:val="00AE62C0"/>
    <w:rsid w:val="00AF4F19"/>
    <w:rsid w:val="00B03410"/>
    <w:rsid w:val="00B060D2"/>
    <w:rsid w:val="00B07CB6"/>
    <w:rsid w:val="00B07F26"/>
    <w:rsid w:val="00B101CA"/>
    <w:rsid w:val="00B1130E"/>
    <w:rsid w:val="00B11F9A"/>
    <w:rsid w:val="00B12EB3"/>
    <w:rsid w:val="00B13A6F"/>
    <w:rsid w:val="00B167F8"/>
    <w:rsid w:val="00B16A5D"/>
    <w:rsid w:val="00B2051B"/>
    <w:rsid w:val="00B26ED9"/>
    <w:rsid w:val="00B2787C"/>
    <w:rsid w:val="00B34FBD"/>
    <w:rsid w:val="00B35A52"/>
    <w:rsid w:val="00B36370"/>
    <w:rsid w:val="00B36BA8"/>
    <w:rsid w:val="00B40578"/>
    <w:rsid w:val="00B437C2"/>
    <w:rsid w:val="00B44E9E"/>
    <w:rsid w:val="00B4775B"/>
    <w:rsid w:val="00B50602"/>
    <w:rsid w:val="00B50A38"/>
    <w:rsid w:val="00B54083"/>
    <w:rsid w:val="00B5737D"/>
    <w:rsid w:val="00B701D3"/>
    <w:rsid w:val="00B77AE2"/>
    <w:rsid w:val="00B82455"/>
    <w:rsid w:val="00B83DF4"/>
    <w:rsid w:val="00B83FA0"/>
    <w:rsid w:val="00B840FB"/>
    <w:rsid w:val="00B84C02"/>
    <w:rsid w:val="00B85094"/>
    <w:rsid w:val="00B944FE"/>
    <w:rsid w:val="00B95FF0"/>
    <w:rsid w:val="00BA1778"/>
    <w:rsid w:val="00BA1A6E"/>
    <w:rsid w:val="00BA459F"/>
    <w:rsid w:val="00BA672F"/>
    <w:rsid w:val="00BB44E0"/>
    <w:rsid w:val="00BB5B8C"/>
    <w:rsid w:val="00BC1492"/>
    <w:rsid w:val="00BC24E8"/>
    <w:rsid w:val="00BC7B50"/>
    <w:rsid w:val="00BD0D47"/>
    <w:rsid w:val="00BE079E"/>
    <w:rsid w:val="00BE0A1E"/>
    <w:rsid w:val="00BE1229"/>
    <w:rsid w:val="00BE1F67"/>
    <w:rsid w:val="00BE4086"/>
    <w:rsid w:val="00BE62B1"/>
    <w:rsid w:val="00BF1B6C"/>
    <w:rsid w:val="00BF2AEA"/>
    <w:rsid w:val="00BF2F1B"/>
    <w:rsid w:val="00BF4C2D"/>
    <w:rsid w:val="00BF4F5A"/>
    <w:rsid w:val="00BF5243"/>
    <w:rsid w:val="00C01896"/>
    <w:rsid w:val="00C031B8"/>
    <w:rsid w:val="00C032B7"/>
    <w:rsid w:val="00C06D4C"/>
    <w:rsid w:val="00C10DD2"/>
    <w:rsid w:val="00C11B4D"/>
    <w:rsid w:val="00C14D32"/>
    <w:rsid w:val="00C1591C"/>
    <w:rsid w:val="00C21DB6"/>
    <w:rsid w:val="00C22ECE"/>
    <w:rsid w:val="00C23353"/>
    <w:rsid w:val="00C26F24"/>
    <w:rsid w:val="00C26F38"/>
    <w:rsid w:val="00C2792C"/>
    <w:rsid w:val="00C27973"/>
    <w:rsid w:val="00C33564"/>
    <w:rsid w:val="00C353F3"/>
    <w:rsid w:val="00C36EAC"/>
    <w:rsid w:val="00C4145D"/>
    <w:rsid w:val="00C45075"/>
    <w:rsid w:val="00C454A6"/>
    <w:rsid w:val="00C53AF9"/>
    <w:rsid w:val="00C5546F"/>
    <w:rsid w:val="00C5666D"/>
    <w:rsid w:val="00C579EC"/>
    <w:rsid w:val="00C61084"/>
    <w:rsid w:val="00C71E9C"/>
    <w:rsid w:val="00C761C9"/>
    <w:rsid w:val="00C777B3"/>
    <w:rsid w:val="00C81447"/>
    <w:rsid w:val="00C8419C"/>
    <w:rsid w:val="00C853B2"/>
    <w:rsid w:val="00C91530"/>
    <w:rsid w:val="00C91619"/>
    <w:rsid w:val="00C96292"/>
    <w:rsid w:val="00CA4C42"/>
    <w:rsid w:val="00CB0F4C"/>
    <w:rsid w:val="00CB3B65"/>
    <w:rsid w:val="00CB493F"/>
    <w:rsid w:val="00CB50E8"/>
    <w:rsid w:val="00CB773A"/>
    <w:rsid w:val="00CC66A9"/>
    <w:rsid w:val="00CD4472"/>
    <w:rsid w:val="00CD7FD4"/>
    <w:rsid w:val="00CE18E9"/>
    <w:rsid w:val="00CE2AE1"/>
    <w:rsid w:val="00CE5528"/>
    <w:rsid w:val="00CE69A3"/>
    <w:rsid w:val="00CF0471"/>
    <w:rsid w:val="00CF39D2"/>
    <w:rsid w:val="00D04CAB"/>
    <w:rsid w:val="00D102BC"/>
    <w:rsid w:val="00D108A1"/>
    <w:rsid w:val="00D11933"/>
    <w:rsid w:val="00D12720"/>
    <w:rsid w:val="00D14197"/>
    <w:rsid w:val="00D15476"/>
    <w:rsid w:val="00D16B7D"/>
    <w:rsid w:val="00D16C22"/>
    <w:rsid w:val="00D221DF"/>
    <w:rsid w:val="00D225F5"/>
    <w:rsid w:val="00D2364C"/>
    <w:rsid w:val="00D23DCD"/>
    <w:rsid w:val="00D26FA4"/>
    <w:rsid w:val="00D33F48"/>
    <w:rsid w:val="00D36860"/>
    <w:rsid w:val="00D40DDF"/>
    <w:rsid w:val="00D41C29"/>
    <w:rsid w:val="00D43CFE"/>
    <w:rsid w:val="00D43E65"/>
    <w:rsid w:val="00D46528"/>
    <w:rsid w:val="00D468E0"/>
    <w:rsid w:val="00D47F15"/>
    <w:rsid w:val="00D51004"/>
    <w:rsid w:val="00D54709"/>
    <w:rsid w:val="00D570E0"/>
    <w:rsid w:val="00D57D14"/>
    <w:rsid w:val="00D61C31"/>
    <w:rsid w:val="00D62D18"/>
    <w:rsid w:val="00D65706"/>
    <w:rsid w:val="00D663F3"/>
    <w:rsid w:val="00D72DAF"/>
    <w:rsid w:val="00D73658"/>
    <w:rsid w:val="00D738BA"/>
    <w:rsid w:val="00D73D33"/>
    <w:rsid w:val="00D75EC4"/>
    <w:rsid w:val="00D7627C"/>
    <w:rsid w:val="00D769F0"/>
    <w:rsid w:val="00D809AD"/>
    <w:rsid w:val="00D829E8"/>
    <w:rsid w:val="00D87D00"/>
    <w:rsid w:val="00D93CD9"/>
    <w:rsid w:val="00D94F1C"/>
    <w:rsid w:val="00D96561"/>
    <w:rsid w:val="00DB387C"/>
    <w:rsid w:val="00DB6BBF"/>
    <w:rsid w:val="00DB72B5"/>
    <w:rsid w:val="00DC1A7E"/>
    <w:rsid w:val="00DC2D99"/>
    <w:rsid w:val="00DC5D69"/>
    <w:rsid w:val="00DC691C"/>
    <w:rsid w:val="00DC6DEA"/>
    <w:rsid w:val="00DC7AF4"/>
    <w:rsid w:val="00DD4090"/>
    <w:rsid w:val="00DD4846"/>
    <w:rsid w:val="00DD5B56"/>
    <w:rsid w:val="00DD7270"/>
    <w:rsid w:val="00DE06BE"/>
    <w:rsid w:val="00DE4841"/>
    <w:rsid w:val="00DE4F36"/>
    <w:rsid w:val="00DE5199"/>
    <w:rsid w:val="00DE72B1"/>
    <w:rsid w:val="00DE7FA8"/>
    <w:rsid w:val="00DF114C"/>
    <w:rsid w:val="00DF1EC5"/>
    <w:rsid w:val="00DF24AF"/>
    <w:rsid w:val="00DF31DB"/>
    <w:rsid w:val="00DF7023"/>
    <w:rsid w:val="00DF7693"/>
    <w:rsid w:val="00E0188C"/>
    <w:rsid w:val="00E03050"/>
    <w:rsid w:val="00E03377"/>
    <w:rsid w:val="00E06F5B"/>
    <w:rsid w:val="00E11627"/>
    <w:rsid w:val="00E124C9"/>
    <w:rsid w:val="00E1399F"/>
    <w:rsid w:val="00E23EB7"/>
    <w:rsid w:val="00E42990"/>
    <w:rsid w:val="00E4414E"/>
    <w:rsid w:val="00E44F62"/>
    <w:rsid w:val="00E50E1C"/>
    <w:rsid w:val="00E57AFF"/>
    <w:rsid w:val="00E60AD3"/>
    <w:rsid w:val="00E61DE2"/>
    <w:rsid w:val="00E61E28"/>
    <w:rsid w:val="00E62244"/>
    <w:rsid w:val="00E71155"/>
    <w:rsid w:val="00E747FC"/>
    <w:rsid w:val="00E759DD"/>
    <w:rsid w:val="00E76D17"/>
    <w:rsid w:val="00E80023"/>
    <w:rsid w:val="00E813A2"/>
    <w:rsid w:val="00E82413"/>
    <w:rsid w:val="00E83D58"/>
    <w:rsid w:val="00E83DF7"/>
    <w:rsid w:val="00E963A5"/>
    <w:rsid w:val="00E9781D"/>
    <w:rsid w:val="00E97ECF"/>
    <w:rsid w:val="00EA0519"/>
    <w:rsid w:val="00EA15A7"/>
    <w:rsid w:val="00EA331C"/>
    <w:rsid w:val="00EA624A"/>
    <w:rsid w:val="00EB1DF7"/>
    <w:rsid w:val="00EB381B"/>
    <w:rsid w:val="00EB458F"/>
    <w:rsid w:val="00EB7B02"/>
    <w:rsid w:val="00EC0A5E"/>
    <w:rsid w:val="00EC2455"/>
    <w:rsid w:val="00ED05B6"/>
    <w:rsid w:val="00ED1907"/>
    <w:rsid w:val="00ED4F1C"/>
    <w:rsid w:val="00EE46AA"/>
    <w:rsid w:val="00EE4DAD"/>
    <w:rsid w:val="00EF28DB"/>
    <w:rsid w:val="00EF29B8"/>
    <w:rsid w:val="00EF651C"/>
    <w:rsid w:val="00F00E78"/>
    <w:rsid w:val="00F0486F"/>
    <w:rsid w:val="00F07198"/>
    <w:rsid w:val="00F119AB"/>
    <w:rsid w:val="00F15749"/>
    <w:rsid w:val="00F33766"/>
    <w:rsid w:val="00F45249"/>
    <w:rsid w:val="00F539E6"/>
    <w:rsid w:val="00F556A0"/>
    <w:rsid w:val="00F56974"/>
    <w:rsid w:val="00F57D67"/>
    <w:rsid w:val="00F6060B"/>
    <w:rsid w:val="00F73056"/>
    <w:rsid w:val="00F768D6"/>
    <w:rsid w:val="00F81E93"/>
    <w:rsid w:val="00F84844"/>
    <w:rsid w:val="00F869E4"/>
    <w:rsid w:val="00F91D6E"/>
    <w:rsid w:val="00F96162"/>
    <w:rsid w:val="00FA1236"/>
    <w:rsid w:val="00FA2001"/>
    <w:rsid w:val="00FA3B2E"/>
    <w:rsid w:val="00FA5BBD"/>
    <w:rsid w:val="00FA721A"/>
    <w:rsid w:val="00FA7847"/>
    <w:rsid w:val="00FB072A"/>
    <w:rsid w:val="00FB241E"/>
    <w:rsid w:val="00FB256B"/>
    <w:rsid w:val="00FB3A59"/>
    <w:rsid w:val="00FB3DF7"/>
    <w:rsid w:val="00FB5B6A"/>
    <w:rsid w:val="00FB754B"/>
    <w:rsid w:val="00FC58BD"/>
    <w:rsid w:val="00FD1886"/>
    <w:rsid w:val="00FE1041"/>
    <w:rsid w:val="00FE25B9"/>
    <w:rsid w:val="00FE6E69"/>
    <w:rsid w:val="00FF0289"/>
    <w:rsid w:val="00FF0B7D"/>
    <w:rsid w:val="00FF16D9"/>
    <w:rsid w:val="00FF4729"/>
    <w:rsid w:val="00FF54DB"/>
    <w:rsid w:val="01E75D2C"/>
    <w:rsid w:val="08083FCE"/>
    <w:rsid w:val="15FA5C9E"/>
    <w:rsid w:val="17FD6593"/>
    <w:rsid w:val="1A9119AC"/>
    <w:rsid w:val="258C1C33"/>
    <w:rsid w:val="26B441B9"/>
    <w:rsid w:val="26D24169"/>
    <w:rsid w:val="2A38077D"/>
    <w:rsid w:val="35893659"/>
    <w:rsid w:val="38913867"/>
    <w:rsid w:val="476969DA"/>
    <w:rsid w:val="49F20EE5"/>
    <w:rsid w:val="4A711081"/>
    <w:rsid w:val="5ACD3B7D"/>
    <w:rsid w:val="62B03276"/>
    <w:rsid w:val="7A3A3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3"/>
    <w:qFormat/>
    <w:uiPriority w:val="9"/>
    <w:pPr>
      <w:keepNext/>
      <w:keepLines/>
      <w:spacing w:before="120" w:after="120" w:line="360" w:lineRule="auto"/>
      <w:outlineLvl w:val="0"/>
    </w:pPr>
    <w:rPr>
      <w:b/>
      <w:bCs/>
      <w:kern w:val="44"/>
      <w:szCs w:val="44"/>
    </w:rPr>
  </w:style>
  <w:style w:type="paragraph" w:styleId="3">
    <w:name w:val="heading 6"/>
    <w:basedOn w:val="1"/>
    <w:next w:val="1"/>
    <w:link w:val="21"/>
    <w:unhideWhenUsed/>
    <w:qFormat/>
    <w:uiPriority w:val="9"/>
    <w:pPr>
      <w:keepNext/>
      <w:keepLines/>
      <w:spacing w:before="240" w:after="64" w:line="320" w:lineRule="auto"/>
      <w:outlineLvl w:val="5"/>
    </w:pPr>
    <w:rPr>
      <w:rFonts w:ascii="Cambria" w:hAnsi="Cambria"/>
      <w:b/>
      <w:bCs/>
      <w:sz w:val="24"/>
      <w:szCs w:val="24"/>
    </w:rPr>
  </w:style>
  <w:style w:type="paragraph" w:styleId="4">
    <w:name w:val="heading 7"/>
    <w:basedOn w:val="1"/>
    <w:next w:val="1"/>
    <w:link w:val="24"/>
    <w:semiHidden/>
    <w:unhideWhenUsed/>
    <w:qFormat/>
    <w:uiPriority w:val="9"/>
    <w:pPr>
      <w:keepNext/>
      <w:keepLines/>
      <w:spacing w:before="240" w:after="64" w:line="320" w:lineRule="auto"/>
      <w:outlineLvl w:val="6"/>
    </w:pPr>
    <w:rPr>
      <w:b/>
      <w:bCs/>
      <w:sz w:val="24"/>
      <w:szCs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9"/>
    <w:semiHidden/>
    <w:unhideWhenUsed/>
    <w:qFormat/>
    <w:uiPriority w:val="99"/>
    <w:pPr>
      <w:jc w:val="left"/>
    </w:pPr>
  </w:style>
  <w:style w:type="paragraph" w:styleId="6">
    <w:name w:val="Balloon Text"/>
    <w:basedOn w:val="1"/>
    <w:link w:val="26"/>
    <w:semiHidden/>
    <w:unhideWhenUsed/>
    <w:qFormat/>
    <w:uiPriority w:val="99"/>
    <w:rPr>
      <w:sz w:val="18"/>
      <w:szCs w:val="18"/>
    </w:rPr>
  </w:style>
  <w:style w:type="paragraph" w:styleId="7">
    <w:name w:val="footer"/>
    <w:basedOn w:val="1"/>
    <w:link w:val="25"/>
    <w:uiPriority w:val="99"/>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unhideWhenUsed/>
    <w:qFormat/>
    <w:uiPriority w:val="39"/>
  </w:style>
  <w:style w:type="paragraph" w:styleId="10">
    <w:name w:val="footnote text"/>
    <w:basedOn w:val="1"/>
    <w:link w:val="28"/>
    <w:semiHidden/>
    <w:unhideWhenUsed/>
    <w:qFormat/>
    <w:uiPriority w:val="99"/>
    <w:pPr>
      <w:snapToGrid w:val="0"/>
      <w:jc w:val="left"/>
    </w:pPr>
    <w:rPr>
      <w:sz w:val="18"/>
      <w:szCs w:val="18"/>
    </w:rPr>
  </w:style>
  <w:style w:type="paragraph" w:styleId="11">
    <w:name w:val="toc 2"/>
    <w:basedOn w:val="1"/>
    <w:next w:val="1"/>
    <w:unhideWhenUsed/>
    <w:qFormat/>
    <w:uiPriority w:val="39"/>
    <w:pPr>
      <w:ind w:left="420" w:leftChars="200"/>
    </w:pPr>
  </w:style>
  <w:style w:type="paragraph" w:styleId="12">
    <w:name w:val="Title"/>
    <w:basedOn w:val="1"/>
    <w:next w:val="1"/>
    <w:link w:val="32"/>
    <w:qFormat/>
    <w:uiPriority w:val="10"/>
    <w:pPr>
      <w:spacing w:before="240" w:after="60"/>
      <w:jc w:val="center"/>
      <w:outlineLvl w:val="0"/>
    </w:pPr>
    <w:rPr>
      <w:rFonts w:asciiTheme="majorHAnsi" w:hAnsiTheme="majorHAnsi" w:cstheme="majorBidi"/>
      <w:b/>
      <w:bCs/>
      <w:sz w:val="32"/>
      <w:szCs w:val="32"/>
    </w:rPr>
  </w:style>
  <w:style w:type="paragraph" w:styleId="13">
    <w:name w:val="annotation subject"/>
    <w:basedOn w:val="5"/>
    <w:next w:val="5"/>
    <w:link w:val="30"/>
    <w:semiHidden/>
    <w:unhideWhenUsed/>
    <w:qFormat/>
    <w:uiPriority w:val="99"/>
    <w:rPr>
      <w:b/>
      <w:bCs/>
    </w:rPr>
  </w:style>
  <w:style w:type="table" w:styleId="15">
    <w:name w:val="Table Grid"/>
    <w:basedOn w:val="14"/>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styleId="18">
    <w:name w:val="annotation reference"/>
    <w:semiHidden/>
    <w:unhideWhenUsed/>
    <w:qFormat/>
    <w:uiPriority w:val="99"/>
    <w:rPr>
      <w:sz w:val="21"/>
      <w:szCs w:val="21"/>
    </w:rPr>
  </w:style>
  <w:style w:type="character" w:styleId="19">
    <w:name w:val="footnote reference"/>
    <w:qFormat/>
    <w:uiPriority w:val="0"/>
    <w:rPr>
      <w:vertAlign w:val="superscript"/>
    </w:rPr>
  </w:style>
  <w:style w:type="table" w:customStyle="1" w:styleId="20">
    <w:name w:val="网格型1"/>
    <w:basedOn w:val="14"/>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标题 6 Char"/>
    <w:link w:val="3"/>
    <w:qFormat/>
    <w:uiPriority w:val="9"/>
    <w:rPr>
      <w:rFonts w:ascii="Cambria" w:hAnsi="Cambria"/>
      <w:b/>
      <w:bCs/>
      <w:kern w:val="2"/>
      <w:sz w:val="24"/>
      <w:szCs w:val="24"/>
    </w:rPr>
  </w:style>
  <w:style w:type="table" w:customStyle="1" w:styleId="22">
    <w:name w:val="网格型2"/>
    <w:basedOn w:val="14"/>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标题 1 Char"/>
    <w:link w:val="2"/>
    <w:qFormat/>
    <w:uiPriority w:val="9"/>
    <w:rPr>
      <w:b/>
      <w:bCs/>
      <w:kern w:val="44"/>
      <w:sz w:val="21"/>
      <w:szCs w:val="44"/>
    </w:rPr>
  </w:style>
  <w:style w:type="character" w:customStyle="1" w:styleId="24">
    <w:name w:val="标题 7 Char"/>
    <w:link w:val="4"/>
    <w:semiHidden/>
    <w:qFormat/>
    <w:uiPriority w:val="9"/>
    <w:rPr>
      <w:b/>
      <w:bCs/>
      <w:kern w:val="2"/>
      <w:sz w:val="24"/>
      <w:szCs w:val="24"/>
    </w:rPr>
  </w:style>
  <w:style w:type="character" w:customStyle="1" w:styleId="25">
    <w:name w:val="页脚 Char"/>
    <w:link w:val="7"/>
    <w:qFormat/>
    <w:uiPriority w:val="99"/>
    <w:rPr>
      <w:kern w:val="2"/>
      <w:sz w:val="18"/>
    </w:rPr>
  </w:style>
  <w:style w:type="character" w:customStyle="1" w:styleId="26">
    <w:name w:val="批注框文本 Char"/>
    <w:link w:val="6"/>
    <w:semiHidden/>
    <w:qFormat/>
    <w:uiPriority w:val="99"/>
    <w:rPr>
      <w:kern w:val="2"/>
      <w:sz w:val="18"/>
      <w:szCs w:val="18"/>
    </w:rPr>
  </w:style>
  <w:style w:type="paragraph" w:styleId="27">
    <w:name w:val="List Paragraph"/>
    <w:basedOn w:val="1"/>
    <w:qFormat/>
    <w:uiPriority w:val="99"/>
    <w:pPr>
      <w:ind w:firstLine="420" w:firstLineChars="200"/>
    </w:pPr>
  </w:style>
  <w:style w:type="character" w:customStyle="1" w:styleId="28">
    <w:name w:val="脚注文本 Char"/>
    <w:link w:val="10"/>
    <w:semiHidden/>
    <w:qFormat/>
    <w:uiPriority w:val="99"/>
    <w:rPr>
      <w:kern w:val="2"/>
      <w:sz w:val="18"/>
      <w:szCs w:val="18"/>
    </w:rPr>
  </w:style>
  <w:style w:type="character" w:customStyle="1" w:styleId="29">
    <w:name w:val="批注文字 Char"/>
    <w:link w:val="5"/>
    <w:semiHidden/>
    <w:uiPriority w:val="99"/>
    <w:rPr>
      <w:kern w:val="2"/>
      <w:sz w:val="21"/>
    </w:rPr>
  </w:style>
  <w:style w:type="character" w:customStyle="1" w:styleId="30">
    <w:name w:val="批注主题 Char"/>
    <w:link w:val="13"/>
    <w:semiHidden/>
    <w:qFormat/>
    <w:uiPriority w:val="99"/>
    <w:rPr>
      <w:b/>
      <w:bCs/>
      <w:kern w:val="2"/>
      <w:sz w:val="21"/>
    </w:rPr>
  </w:style>
  <w:style w:type="character" w:styleId="31">
    <w:name w:val="Placeholder Text"/>
    <w:basedOn w:val="16"/>
    <w:unhideWhenUsed/>
    <w:qFormat/>
    <w:uiPriority w:val="99"/>
    <w:rPr>
      <w:color w:val="auto"/>
    </w:rPr>
  </w:style>
  <w:style w:type="character" w:customStyle="1" w:styleId="32">
    <w:name w:val="标题 Char"/>
    <w:basedOn w:val="16"/>
    <w:link w:val="12"/>
    <w:qFormat/>
    <w:uiPriority w:val="1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Normal.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E4BC3-B75C-4F82-8A16-378D092DC675}">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5483</Words>
  <Characters>2553</Characters>
  <Lines>21</Lines>
  <Paragraphs>16</Paragraphs>
  <TotalTime>22</TotalTime>
  <ScaleCrop>false</ScaleCrop>
  <LinksUpToDate>false</LinksUpToDate>
  <CharactersWithSpaces>8020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2024-02-29T03:33:00Z</dcterms:created>
  <dc:creator>wfy</dc:creator>
  <cp:lastModifiedBy>孙雯</cp:lastModifiedBy>
  <dcterms:modified xsi:type="dcterms:W3CDTF">2024-03-15T08:06:45Z</dcterms:modified>
  <dc:title>证券投资基金信息披露报表</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67315A1D3CBE4D1DA51293CD8C543100_12</vt:lpwstr>
  </property>
</Properties>
</file>