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w:t>
      </w:r>
      <w:r>
        <w:rPr>
          <w:rFonts w:hint="eastAsia" w:ascii="宋体" w:hAnsi="宋体"/>
          <w:b/>
          <w:sz w:val="40"/>
          <w:szCs w:val="40"/>
          <w:lang w:val="en-US" w:eastAsia="zh-Hans"/>
        </w:rPr>
        <w:t>兴玚</w:t>
      </w:r>
      <w:r>
        <w:rPr>
          <w:rFonts w:hint="default" w:ascii="宋体" w:hAnsi="宋体"/>
          <w:b/>
          <w:sz w:val="40"/>
          <w:szCs w:val="40"/>
          <w:lang w:eastAsia="zh-Hans"/>
        </w:rPr>
        <w:t>FOF</w:t>
      </w:r>
      <w:r>
        <w:rPr>
          <w:rFonts w:hint="eastAsia" w:ascii="宋体" w:hAnsi="宋体"/>
          <w:b/>
          <w:sz w:val="40"/>
          <w:szCs w:val="40"/>
          <w:lang w:val="en-US" w:eastAsia="zh-Hans"/>
        </w:rPr>
        <w:t>三号集合</w:t>
      </w:r>
      <w:r>
        <w:rPr>
          <w:rFonts w:hint="eastAsia" w:ascii="宋体" w:hAnsi="宋体"/>
          <w:b/>
          <w:sz w:val="40"/>
          <w:szCs w:val="40"/>
        </w:rPr>
        <w:t>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Hans"/>
        </w:rPr>
        <w:t>广发</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ascii="宋体" w:hAnsi="宋体"/>
          <w:b/>
          <w:sz w:val="28"/>
          <w:szCs w:val="28"/>
        </w:rPr>
      </w:pP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兴证期货-兴玚FOF三号集合资产管理计划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SXB006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2022-08-29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11269.89</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2027-08-28</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本资产管理计划主策略以定量和定性相结合的方式选择和组合固收类子基金，通过分散投资，在严格控制风险的情况下，力求FOF的保值增值。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基于本计划的投资范围及投资策略，本计划不承诺保本及最低收益，按照资产管理人对计划产品或者服务的风险等级划分，本计划属预期风险等级【R3】级的投资品种，适合具有【C3及以上】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上海市浦东新区长柳路36号兴业证券大厦8层</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rPr>
                <w:rFonts w:hint="eastAsia" w:ascii="宋体" w:hAnsi="宋体"/>
                <w:lang w:val="en-US" w:eastAsia="zh-CN"/>
              </w:rP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60" w:lineRule="auto"/>
              <w:ind w:firstLine="440" w:firstLineChars="200"/>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资产管理人向资产委托人提供的报告，将严格按照有关规定通过以下至少一种方式进行。资产委托人信息查询将通过以下至少一种中国证监会允许的、本合同约定的方式进行。</w:t>
            </w:r>
          </w:p>
          <w:p>
            <w:pPr>
              <w:widowControl/>
              <w:spacing w:line="360" w:lineRule="auto"/>
              <w:ind w:firstLine="440" w:firstLineChars="200"/>
              <w:jc w:val="left"/>
              <w:textAlignment w:val="center"/>
              <w:rPr>
                <w:rFonts w:hint="eastAsia" w:ascii="宋体" w:hAnsi="宋体" w:cs="宋体"/>
                <w:color w:val="000000"/>
                <w:kern w:val="0"/>
                <w:sz w:val="22"/>
                <w:szCs w:val="22"/>
              </w:rPr>
            </w:pPr>
            <w:bookmarkStart w:id="0" w:name="_Hlk109163352"/>
            <w:r>
              <w:rPr>
                <w:rFonts w:hint="eastAsia" w:ascii="宋体" w:hAnsi="宋体" w:cs="宋体"/>
                <w:color w:val="000000"/>
                <w:kern w:val="0"/>
                <w:sz w:val="22"/>
                <w:szCs w:val="22"/>
              </w:rPr>
              <w:t>1、资产管理人网站或微信公众号</w:t>
            </w:r>
          </w:p>
          <w:p>
            <w:pPr>
              <w:widowControl/>
              <w:spacing w:line="360" w:lineRule="auto"/>
              <w:ind w:firstLine="440" w:firstLineChars="200"/>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定期报告、临时报告等有关本资产管理计划的信息将在资产管理人网站上披露，资产委托人可随时查阅。资产管理人在满足“未向不特定对象宣传推介”等法规要求的前提下，可以通过资产管理人网站或微信公众号向特定的份额持有人披露资产管理合同、定期报告、临时报告、资产管理计划净值等信息。份额持有人可登录管理人网站或微信公众号查阅本计划相关信息。</w:t>
            </w:r>
          </w:p>
          <w:p>
            <w:pPr>
              <w:widowControl/>
              <w:spacing w:line="360" w:lineRule="auto"/>
              <w:ind w:firstLine="440" w:firstLineChars="200"/>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2、传真、电子邮件、电话或其他通讯方式</w:t>
            </w:r>
          </w:p>
          <w:p>
            <w:pPr>
              <w:widowControl/>
              <w:spacing w:line="360" w:lineRule="auto"/>
              <w:ind w:firstLine="440" w:firstLineChars="200"/>
              <w:jc w:val="left"/>
              <w:textAlignment w:val="center"/>
            </w:pPr>
            <w:r>
              <w:rPr>
                <w:rFonts w:hint="eastAsia" w:ascii="宋体" w:hAnsi="宋体" w:cs="宋体"/>
                <w:color w:val="000000"/>
                <w:kern w:val="0"/>
                <w:sz w:val="22"/>
                <w:szCs w:val="22"/>
              </w:rPr>
              <w:t>如委托人办理资产管理计划认购、参与或退出等业务时留有传真号、电子邮箱、手机及电话号码等联系方式的，资产管理人也可通过传真、电子邮件、手机短信、电话、电报等方式将报告信息通知资产委托人。资产委托人上述联系方式若发生变更应当及时通知资产管理人</w:t>
            </w:r>
            <w:bookmarkEnd w:id="0"/>
            <w:r>
              <w:rPr>
                <w:rFonts w:hint="eastAsia" w:ascii="宋体" w:hAnsi="宋体" w:cs="宋体"/>
                <w:color w:val="000000"/>
                <w:kern w:val="0"/>
                <w:sz w:val="22"/>
                <w:szCs w:val="22"/>
                <w:lang w:eastAsia="zh-CN"/>
              </w:rPr>
              <w:t>。</w:t>
            </w: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Hans"/>
              </w:rPr>
            </w:pPr>
            <w:r>
              <w:rPr>
                <w:rFonts w:hint="eastAsia"/>
                <w:lang w:val="en-US" w:eastAsia="zh-Hans"/>
              </w:rPr>
              <w:t>无</w:t>
            </w:r>
          </w:p>
        </w:tc>
        <w:tc>
          <w:tcPr>
            <w:tcW w:w="3326"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3600387.38</w:t>
            </w:r>
          </w:p>
        </w:tc>
        <w:tc>
          <w:tcPr>
            <w:tcW w:w="2216" w:type="dxa"/>
            <w:vAlign w:val="center"/>
          </w:tcPr>
          <w:p>
            <w:r>
              <w:t>54695.48</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5591355.29</w:t>
            </w:r>
          </w:p>
        </w:tc>
        <w:tc>
          <w:tcPr>
            <w:tcW w:w="2216" w:type="dxa"/>
            <w:tcBorders>
              <w:bottom w:val="single" w:color="auto" w:sz="4" w:space="0"/>
            </w:tcBorders>
            <w:vAlign w:val="center"/>
          </w:tcPr>
          <w:p>
            <w:r>
              <w:t>193364.63</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6364238.37</w:t>
            </w:r>
          </w:p>
        </w:tc>
        <w:tc>
          <w:tcPr>
            <w:tcW w:w="2216" w:type="dxa"/>
            <w:vAlign w:val="center"/>
          </w:tcPr>
          <w:p>
            <w:r>
              <w:t>153215.40</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0.0565</w:t>
            </w:r>
          </w:p>
        </w:tc>
        <w:tc>
          <w:tcPr>
            <w:tcW w:w="2216" w:type="dxa"/>
            <w:vAlign w:val="center"/>
          </w:tcPr>
          <w:p>
            <w:r>
              <w:t>0.0091</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122156936.74</w:t>
            </w:r>
          </w:p>
        </w:tc>
        <w:tc>
          <w:tcPr>
            <w:tcW w:w="2216" w:type="dxa"/>
            <w:vAlign w:val="center"/>
          </w:tcPr>
          <w:p>
            <w:r>
              <w:t>17091964.31</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1.0839</w:t>
            </w:r>
          </w:p>
        </w:tc>
        <w:tc>
          <w:tcPr>
            <w:tcW w:w="2216" w:type="dxa"/>
            <w:tcBorders>
              <w:bottom w:val="single" w:color="auto" w:sz="4" w:space="0"/>
            </w:tcBorders>
            <w:vAlign w:val="center"/>
          </w:tcPr>
          <w:p>
            <w:r>
              <w:t>1.0196</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8.39</w:t>
            </w:r>
          </w:p>
        </w:tc>
        <w:tc>
          <w:tcPr>
            <w:tcW w:w="2216" w:type="dxa"/>
            <w:vAlign w:val="center"/>
          </w:tcPr>
          <w:p>
            <w:r>
              <w:t>1.96</w:t>
            </w: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6.31</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8.39</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r>
              <w:t>0</w:t>
            </w:r>
          </w:p>
        </w:tc>
        <w:tc>
          <w:tcPr>
            <w:tcW w:w="1607" w:type="dxa"/>
            <w:shd w:val="clear" w:color="auto" w:fill="FFFFFF"/>
            <w:vAlign w:val="center"/>
          </w:tcPr>
          <w:p>
            <w:r>
              <w:t>0</w:t>
            </w:r>
          </w:p>
        </w:tc>
        <w:tc>
          <w:tcPr>
            <w:tcW w:w="1559" w:type="dxa"/>
            <w:shd w:val="clear" w:color="auto" w:fill="FFFFFF"/>
            <w:vAlign w:val="center"/>
          </w:tcPr>
          <w:p>
            <w:r>
              <w:t>0</w:t>
            </w:r>
          </w:p>
        </w:tc>
        <w:tc>
          <w:tcPr>
            <w:tcW w:w="1559" w:type="dxa"/>
            <w:shd w:val="clear" w:color="auto" w:fill="FFFFFF"/>
            <w:vAlign w:val="center"/>
          </w:tcPr>
          <w:p>
            <w:r>
              <w:t>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1676.341379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19470.408007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9876.857994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11269.891392</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rPr>
                <w:rFonts w:hint="eastAsia" w:ascii="宋体" w:hAnsi="宋体" w:cs="宋体"/>
                <w:color w:val="000000"/>
                <w:kern w:val="0"/>
                <w:sz w:val="22"/>
                <w:szCs w:val="22"/>
              </w:rPr>
            </w:pPr>
            <w:r>
              <w:rPr>
                <w:rFonts w:hint="default" w:ascii="宋体" w:hAnsi="宋体" w:cs="宋体"/>
                <w:color w:val="000000"/>
                <w:kern w:val="0"/>
                <w:sz w:val="22"/>
                <w:szCs w:val="22"/>
              </w:rPr>
              <w:t xml:space="preserve">4.1 </w:t>
            </w:r>
            <w:r>
              <w:rPr>
                <w:rFonts w:hint="eastAsia" w:ascii="宋体" w:hAnsi="宋体" w:cs="宋体"/>
                <w:color w:val="000000"/>
                <w:kern w:val="0"/>
                <w:sz w:val="22"/>
                <w:szCs w:val="22"/>
              </w:rPr>
              <w:t>报告期内基金投资决策依据和业绩表现</w:t>
            </w:r>
          </w:p>
          <w:p>
            <w:pPr>
              <w:widowControl/>
              <w:ind w:firstLine="440" w:firstLineChars="200"/>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本计划投资决策依据:以定量和定性相结合的方式选择和组合子基金，通过多策略分散投资，在严格控制风险的情况下，实现 FOF 的稳健增值。从策略应呈现的风险收益特征出发，对子基金进行分类，然后根据既定目标进行 FOF 的资产配置。截止 2023 年 12 月31 日本基金期末基金单位净值为 1.0839 元，期末基金累计单位净值 1.0839 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50"/>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widowControl/>
              <w:ind w:firstLine="420" w:firstLineChars="200"/>
              <w:jc w:val="left"/>
              <w:textAlignment w:val="cente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r>
              <w:rPr>
                <w:rFonts w:hint="eastAsia" w:ascii="宋体" w:hAnsi="宋体" w:cs="宋体"/>
                <w:color w:val="000000"/>
                <w:kern w:val="0"/>
                <w:sz w:val="22"/>
                <w:szCs w:val="22"/>
              </w:rPr>
              <w:br w:type="textWrapping"/>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r>
              <w:rPr>
                <w:rFonts w:hint="eastAsia" w:ascii="宋体" w:hAnsi="宋体" w:cs="宋体"/>
                <w:color w:val="000000"/>
                <w:kern w:val="0"/>
                <w:sz w:val="22"/>
                <w:szCs w:val="22"/>
              </w:rPr>
              <w:br w:type="textWrapping"/>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本计划托管人依法对年度报告中托管履职期间的财务指标、净值表现、投资组合情况、利润分配情况（如有）、财务会计报告（如有）等财务信息进行了核查，以上内容真实、准确和完整。</w:t>
            </w:r>
            <w:r>
              <w:rPr>
                <w:rFonts w:hint="eastAsia" w:ascii="宋体" w:hAnsi="宋体" w:cs="宋体"/>
                <w:color w:val="000000"/>
                <w:kern w:val="0"/>
                <w:sz w:val="22"/>
                <w:szCs w:val="22"/>
              </w:rPr>
              <w:br w:type="textWrapping"/>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199248.35</w:t>
            </w:r>
          </w:p>
        </w:tc>
        <w:tc>
          <w:tcPr>
            <w:tcW w:w="2955" w:type="dxa"/>
            <w:shd w:val="clear" w:color="auto" w:fill="FFFFFF"/>
            <w:vAlign w:val="center"/>
          </w:tcPr>
          <w:p>
            <w:r>
              <w:t>322.20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0.00</w:t>
            </w:r>
          </w:p>
        </w:tc>
        <w:tc>
          <w:tcPr>
            <w:tcW w:w="2955" w:type="dxa"/>
            <w:shd w:val="clear" w:color="auto" w:fill="FFFFFF"/>
            <w:vAlign w:val="center"/>
          </w:tcPr>
          <w:p>
            <w:r>
              <w:t>8048.79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0.00</w:t>
            </w:r>
          </w:p>
        </w:tc>
        <w:tc>
          <w:tcPr>
            <w:tcW w:w="2955" w:type="dxa"/>
            <w:shd w:val="clear" w:color="auto" w:fill="FFFFFF"/>
            <w:vAlign w:val="center"/>
          </w:tcPr>
          <w:p>
            <w:r>
              <w:t>8048.79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281000.00</w:t>
            </w:r>
          </w:p>
        </w:tc>
        <w:tc>
          <w:tcPr>
            <w:tcW w:w="2955" w:type="dxa"/>
            <w:shd w:val="clear" w:color="auto" w:fill="FFFFFF"/>
            <w:vAlign w:val="center"/>
          </w:tcPr>
          <w:p>
            <w: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121771818.09</w:t>
            </w:r>
          </w:p>
        </w:tc>
        <w:tc>
          <w:tcPr>
            <w:tcW w:w="2955" w:type="dxa"/>
            <w:shd w:val="clear" w:color="auto" w:fill="FFFFFF"/>
            <w:vAlign w:val="center"/>
          </w:tcPr>
          <w:p>
            <w:r>
              <w:t>17023006.29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122252066.44</w:t>
            </w:r>
          </w:p>
        </w:tc>
        <w:tc>
          <w:tcPr>
            <w:tcW w:w="2955" w:type="dxa"/>
            <w:tcBorders>
              <w:bottom w:val="single" w:color="auto" w:sz="4" w:space="0"/>
            </w:tcBorders>
            <w:shd w:val="clear" w:color="auto" w:fill="FFFFFF"/>
            <w:vAlign w:val="center"/>
          </w:tcPr>
          <w:p>
            <w:r>
              <w:t>17101377.28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89184.06</w:t>
            </w:r>
          </w:p>
        </w:tc>
        <w:tc>
          <w:tcPr>
            <w:tcW w:w="2955" w:type="dxa"/>
            <w:shd w:val="clear" w:color="auto" w:fill="FFFFFF"/>
            <w:vAlign w:val="center"/>
          </w:tcPr>
          <w:p>
            <w:r>
              <w:t>8824.69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2972.82</w:t>
            </w:r>
          </w:p>
        </w:tc>
        <w:tc>
          <w:tcPr>
            <w:tcW w:w="2955" w:type="dxa"/>
            <w:shd w:val="clear" w:color="auto" w:fill="FFFFFF"/>
            <w:vAlign w:val="center"/>
          </w:tcPr>
          <w:p>
            <w:r>
              <w:t>294.14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2972.82</w:t>
            </w:r>
          </w:p>
        </w:tc>
        <w:tc>
          <w:tcPr>
            <w:tcW w:w="2955" w:type="dxa"/>
            <w:shd w:val="clear" w:color="auto" w:fill="FFFFFF"/>
            <w:vAlign w:val="center"/>
          </w:tcPr>
          <w:p>
            <w:r>
              <w:t>294.14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95129.70</w:t>
            </w:r>
          </w:p>
        </w:tc>
        <w:tc>
          <w:tcPr>
            <w:tcW w:w="2955" w:type="dxa"/>
            <w:shd w:val="clear" w:color="auto" w:fill="FFFFFF"/>
            <w:vAlign w:val="center"/>
          </w:tcPr>
          <w:p>
            <w:r>
              <w:t>9412.97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112698913.92</w:t>
            </w:r>
          </w:p>
        </w:tc>
        <w:tc>
          <w:tcPr>
            <w:tcW w:w="2955" w:type="dxa"/>
            <w:shd w:val="clear" w:color="auto" w:fill="FFFFFF"/>
            <w:vAlign w:val="center"/>
          </w:tcPr>
          <w:p>
            <w:r>
              <w:t>16763413.79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9458022.82</w:t>
            </w:r>
          </w:p>
        </w:tc>
        <w:tc>
          <w:tcPr>
            <w:tcW w:w="2955" w:type="dxa"/>
            <w:shd w:val="clear" w:color="auto" w:fill="FFFFFF"/>
            <w:vAlign w:val="center"/>
          </w:tcPr>
          <w:p>
            <w:r>
              <w:t>328550.52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122156936.74</w:t>
            </w:r>
          </w:p>
        </w:tc>
        <w:tc>
          <w:tcPr>
            <w:tcW w:w="2955" w:type="dxa"/>
            <w:shd w:val="clear" w:color="auto" w:fill="FFFFFF"/>
            <w:vAlign w:val="center"/>
          </w:tcPr>
          <w:p>
            <w:r>
              <w:t>17091964.31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122252066.44</w:t>
            </w:r>
          </w:p>
        </w:tc>
        <w:tc>
          <w:tcPr>
            <w:tcW w:w="2955" w:type="dxa"/>
            <w:shd w:val="clear" w:color="auto" w:fill="FFFFFF"/>
            <w:vAlign w:val="center"/>
          </w:tcPr>
          <w:p>
            <w:r>
              <w:t>17101377.28</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2023-01-01 至 2023-12-31</w:t>
            </w:r>
          </w:p>
        </w:tc>
        <w:tc>
          <w:tcPr>
            <w:tcW w:w="2901" w:type="dxa"/>
            <w:shd w:val="clear" w:color="auto" w:fill="D9D9D9"/>
            <w:vAlign w:val="center"/>
          </w:tcPr>
          <w:p>
            <w:r>
              <w:t>2022-08-29至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5891421.43</w:t>
            </w:r>
          </w:p>
        </w:tc>
        <w:tc>
          <w:tcPr>
            <w:tcW w:w="2901" w:type="dxa"/>
            <w:vAlign w:val="center"/>
          </w:tcPr>
          <w:p>
            <w:r>
              <w:t>205164.66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4080.48</w:t>
            </w:r>
          </w:p>
        </w:tc>
        <w:tc>
          <w:tcPr>
            <w:tcW w:w="2901" w:type="dxa"/>
            <w:vAlign w:val="center"/>
          </w:tcPr>
          <w:p>
            <w:r>
              <w:t>984.36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4080.48</w:t>
            </w:r>
          </w:p>
        </w:tc>
        <w:tc>
          <w:tcPr>
            <w:tcW w:w="2901" w:type="dxa"/>
            <w:vAlign w:val="center"/>
          </w:tcPr>
          <w:p>
            <w:r>
              <w:t>984.36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2431882.97</w:t>
            </w:r>
          </w:p>
        </w:tc>
        <w:tc>
          <w:tcPr>
            <w:tcW w:w="2901" w:type="dxa"/>
            <w:vAlign w:val="center"/>
          </w:tcPr>
          <w:p>
            <w:r>
              <w:t>62468.08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0.03</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2431882.94</w:t>
            </w:r>
          </w:p>
        </w:tc>
        <w:tc>
          <w:tcPr>
            <w:tcW w:w="2901" w:type="dxa"/>
            <w:vAlign w:val="center"/>
          </w:tcPr>
          <w:p>
            <w:r>
              <w:t>62468.08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1990967.91</w:t>
            </w:r>
          </w:p>
        </w:tc>
        <w:tc>
          <w:tcPr>
            <w:tcW w:w="2901" w:type="dxa"/>
            <w:vAlign w:val="center"/>
          </w:tcPr>
          <w:p>
            <w:r>
              <w:t>138669.15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1464490.07</w:t>
            </w:r>
          </w:p>
        </w:tc>
        <w:tc>
          <w:tcPr>
            <w:tcW w:w="2901" w:type="dxa"/>
            <w:vAlign w:val="center"/>
          </w:tcPr>
          <w:p>
            <w:r>
              <w:t>3043.07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300066.14</w:t>
            </w:r>
          </w:p>
        </w:tc>
        <w:tc>
          <w:tcPr>
            <w:tcW w:w="2901" w:type="dxa"/>
            <w:vAlign w:val="center"/>
          </w:tcPr>
          <w:p>
            <w:r>
              <w:t>11800.03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277093.34</w:t>
            </w:r>
          </w:p>
        </w:tc>
        <w:tc>
          <w:tcPr>
            <w:tcW w:w="2901" w:type="dxa"/>
            <w:vAlign w:val="center"/>
          </w:tcPr>
          <w:p>
            <w:r>
              <w:t>11062.55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277093.34</w:t>
            </w:r>
          </w:p>
        </w:tc>
        <w:tc>
          <w:tcPr>
            <w:tcW w:w="2901" w:type="dxa"/>
            <w:vAlign w:val="center"/>
          </w:tcPr>
          <w:p>
            <w:r>
              <w:t>11062.55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9236.39</w:t>
            </w:r>
          </w:p>
        </w:tc>
        <w:tc>
          <w:tcPr>
            <w:tcW w:w="2901" w:type="dxa"/>
            <w:vAlign w:val="center"/>
          </w:tcPr>
          <w:p>
            <w:r>
              <w:t>368.74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9236.39</w:t>
            </w:r>
          </w:p>
        </w:tc>
        <w:tc>
          <w:tcPr>
            <w:tcW w:w="2901" w:type="dxa"/>
            <w:vAlign w:val="center"/>
          </w:tcPr>
          <w:p>
            <w:r>
              <w:t>368.74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0.02</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4500.00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5591355.29</w:t>
            </w:r>
          </w:p>
        </w:tc>
        <w:tc>
          <w:tcPr>
            <w:tcW w:w="2901" w:type="dxa"/>
            <w:vAlign w:val="center"/>
          </w:tcPr>
          <w:p>
            <w:r>
              <w:t>193364.63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5591355.29</w:t>
            </w:r>
          </w:p>
        </w:tc>
        <w:tc>
          <w:tcPr>
            <w:tcW w:w="2901" w:type="dxa"/>
            <w:vAlign w:val="center"/>
          </w:tcPr>
          <w:p>
            <w:r>
              <w:t>193364.63</w:t>
            </w: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c>
          <w:tcPr>
            <w:tcW w:w="8789" w:type="dxa"/>
            <w:shd w:val="clear" w:color="auto" w:fill="FFFFFF"/>
            <w:vAlign w:val="center"/>
          </w:tcPr>
          <w:p>
            <w:r>
              <w:t>报告截止日：2023年12月31日；暂估业绩报酬：0元；暂估管理人报酬是按照期末时点暂估计算，与投资者实际承担的管理人报酬可能存在差异。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2023-01-01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16763413.79</w:t>
            </w:r>
          </w:p>
        </w:tc>
        <w:tc>
          <w:tcPr>
            <w:tcW w:w="2216" w:type="dxa"/>
            <w:shd w:val="clear" w:color="auto" w:fill="FFFFFF"/>
            <w:vAlign w:val="center"/>
          </w:tcPr>
          <w:p>
            <w:r>
              <w:t>328550.52</w:t>
            </w:r>
          </w:p>
        </w:tc>
        <w:tc>
          <w:tcPr>
            <w:tcW w:w="2217" w:type="dxa"/>
            <w:shd w:val="clear" w:color="auto" w:fill="FFFFFF"/>
            <w:vAlign w:val="center"/>
          </w:tcPr>
          <w:p>
            <w:r>
              <w:t>17091964.31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5591355.29</w:t>
            </w:r>
          </w:p>
        </w:tc>
        <w:tc>
          <w:tcPr>
            <w:tcW w:w="2217" w:type="dxa"/>
            <w:shd w:val="clear" w:color="auto" w:fill="FFFFFF"/>
            <w:vAlign w:val="center"/>
          </w:tcPr>
          <w:p>
            <w:r>
              <w:t>5591355.29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95935500.13</w:t>
            </w:r>
          </w:p>
        </w:tc>
        <w:tc>
          <w:tcPr>
            <w:tcW w:w="2216" w:type="dxa"/>
            <w:shd w:val="clear" w:color="auto" w:fill="FFFFFF"/>
            <w:vAlign w:val="center"/>
          </w:tcPr>
          <w:p>
            <w:r>
              <w:t>3538117.01</w:t>
            </w:r>
          </w:p>
        </w:tc>
        <w:tc>
          <w:tcPr>
            <w:tcW w:w="2217" w:type="dxa"/>
            <w:shd w:val="clear" w:color="auto" w:fill="FFFFFF"/>
            <w:vAlign w:val="center"/>
          </w:tcPr>
          <w:p>
            <w:r>
              <w:t>99473617.14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194704080.07</w:t>
            </w:r>
          </w:p>
        </w:tc>
        <w:tc>
          <w:tcPr>
            <w:tcW w:w="2216" w:type="dxa"/>
            <w:shd w:val="clear" w:color="auto" w:fill="FFFFFF"/>
            <w:vAlign w:val="center"/>
          </w:tcPr>
          <w:p>
            <w:r>
              <w:t>9251919.93</w:t>
            </w:r>
          </w:p>
        </w:tc>
        <w:tc>
          <w:tcPr>
            <w:tcW w:w="2217" w:type="dxa"/>
            <w:shd w:val="clear" w:color="auto" w:fill="FFFFFF"/>
            <w:vAlign w:val="center"/>
          </w:tcPr>
          <w:p>
            <w:r>
              <w:t>203956000.00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-98768579.94</w:t>
            </w:r>
          </w:p>
        </w:tc>
        <w:tc>
          <w:tcPr>
            <w:tcW w:w="2216" w:type="dxa"/>
            <w:shd w:val="clear" w:color="auto" w:fill="FFFFFF"/>
            <w:vAlign w:val="center"/>
          </w:tcPr>
          <w:p>
            <w:r>
              <w:t>-5713802.92</w:t>
            </w:r>
          </w:p>
        </w:tc>
        <w:tc>
          <w:tcPr>
            <w:tcW w:w="2217" w:type="dxa"/>
            <w:shd w:val="clear" w:color="auto" w:fill="FFFFFF"/>
            <w:vAlign w:val="center"/>
          </w:tcPr>
          <w:p>
            <w:r>
              <w:t>-104482382.86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112698913.92</w:t>
            </w:r>
          </w:p>
        </w:tc>
        <w:tc>
          <w:tcPr>
            <w:tcW w:w="2216" w:type="dxa"/>
            <w:tcBorders>
              <w:bottom w:val="single" w:color="auto" w:sz="4" w:space="0"/>
            </w:tcBorders>
            <w:shd w:val="clear" w:color="auto" w:fill="FFFFFF"/>
            <w:vAlign w:val="center"/>
          </w:tcPr>
          <w:p>
            <w:r>
              <w:t>9458022.82</w:t>
            </w:r>
          </w:p>
        </w:tc>
        <w:tc>
          <w:tcPr>
            <w:tcW w:w="2217" w:type="dxa"/>
            <w:tcBorders>
              <w:bottom w:val="single" w:color="auto" w:sz="4" w:space="0"/>
            </w:tcBorders>
            <w:shd w:val="clear" w:color="auto" w:fill="FFFFFF"/>
            <w:vAlign w:val="center"/>
          </w:tcPr>
          <w:p>
            <w:r>
              <w:t>122156936.74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2022-08-29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10200428.73</w:t>
            </w:r>
          </w:p>
        </w:tc>
        <w:tc>
          <w:tcPr>
            <w:tcW w:w="2216" w:type="dxa"/>
            <w:shd w:val="clear" w:color="auto" w:fill="FFFFFF"/>
            <w:vAlign w:val="center"/>
          </w:tcPr>
          <w:p>
            <w:r>
              <w:t>0.00</w:t>
            </w:r>
          </w:p>
        </w:tc>
        <w:tc>
          <w:tcPr>
            <w:tcW w:w="2217" w:type="dxa"/>
            <w:shd w:val="clear" w:color="auto" w:fill="FFFFFF"/>
            <w:vAlign w:val="center"/>
          </w:tcPr>
          <w:p>
            <w:r>
              <w:t>10200428.73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193364.63</w:t>
            </w:r>
          </w:p>
        </w:tc>
        <w:tc>
          <w:tcPr>
            <w:tcW w:w="2217" w:type="dxa"/>
            <w:shd w:val="clear" w:color="auto" w:fill="FFFFFF"/>
            <w:vAlign w:val="center"/>
          </w:tcPr>
          <w:p>
            <w:r>
              <w:t>193364.63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6562985.06</w:t>
            </w:r>
          </w:p>
        </w:tc>
        <w:tc>
          <w:tcPr>
            <w:tcW w:w="2216" w:type="dxa"/>
            <w:shd w:val="clear" w:color="auto" w:fill="FFFFFF"/>
            <w:vAlign w:val="center"/>
          </w:tcPr>
          <w:p>
            <w:r>
              <w:t>135185.89</w:t>
            </w:r>
          </w:p>
        </w:tc>
        <w:tc>
          <w:tcPr>
            <w:tcW w:w="2217" w:type="dxa"/>
            <w:shd w:val="clear" w:color="auto" w:fill="FFFFFF"/>
            <w:vAlign w:val="center"/>
          </w:tcPr>
          <w:p>
            <w:r>
              <w:t>6698170.95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15255837.93</w:t>
            </w:r>
          </w:p>
        </w:tc>
        <w:tc>
          <w:tcPr>
            <w:tcW w:w="2216" w:type="dxa"/>
            <w:shd w:val="clear" w:color="auto" w:fill="FFFFFF"/>
            <w:vAlign w:val="center"/>
          </w:tcPr>
          <w:p>
            <w:r>
              <w:t>154162.07</w:t>
            </w:r>
          </w:p>
        </w:tc>
        <w:tc>
          <w:tcPr>
            <w:tcW w:w="2217" w:type="dxa"/>
            <w:shd w:val="clear" w:color="auto" w:fill="FFFFFF"/>
            <w:vAlign w:val="center"/>
          </w:tcPr>
          <w:p>
            <w:r>
              <w:t>15410000.00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-8692852.87</w:t>
            </w:r>
          </w:p>
        </w:tc>
        <w:tc>
          <w:tcPr>
            <w:tcW w:w="2216" w:type="dxa"/>
            <w:shd w:val="clear" w:color="auto" w:fill="FFFFFF"/>
            <w:vAlign w:val="center"/>
          </w:tcPr>
          <w:p>
            <w:r>
              <w:t>-18976.18</w:t>
            </w:r>
          </w:p>
        </w:tc>
        <w:tc>
          <w:tcPr>
            <w:tcW w:w="2217" w:type="dxa"/>
            <w:shd w:val="clear" w:color="auto" w:fill="FFFFFF"/>
            <w:vAlign w:val="center"/>
          </w:tcPr>
          <w:p>
            <w:r>
              <w:t>-8711829.05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16763413.79</w:t>
            </w:r>
          </w:p>
        </w:tc>
        <w:tc>
          <w:tcPr>
            <w:tcW w:w="2216" w:type="dxa"/>
            <w:shd w:val="clear" w:color="auto" w:fill="FFFFFF"/>
            <w:vAlign w:val="center"/>
          </w:tcPr>
          <w:p>
            <w:r>
              <w:t>328550.52</w:t>
            </w:r>
          </w:p>
        </w:tc>
        <w:tc>
          <w:tcPr>
            <w:tcW w:w="2217" w:type="dxa"/>
            <w:shd w:val="clear" w:color="auto" w:fill="FFFFFF"/>
            <w:vAlign w:val="center"/>
          </w:tcPr>
          <w:p>
            <w:r>
              <w:t>17091964.31</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199248.35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r>
              <w:t>7717014.22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114054803.87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r>
              <w:t>281000.00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5" w:type="first"/>
      <w:footerReference r:id="rId8" w:type="first"/>
      <w:headerReference r:id="rId4" w:type="default"/>
      <w:footerReference r:id="rId6" w:type="default"/>
      <w:footerReference r:id="rId7"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兴证期货-兴玚FOF三号集合资产管理计划2023年年度报告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9473326"/>
    <w:rsid w:val="1BED7C28"/>
    <w:rsid w:val="1F6B7D7F"/>
    <w:rsid w:val="25FF7B35"/>
    <w:rsid w:val="27AB5FBF"/>
    <w:rsid w:val="28026780"/>
    <w:rsid w:val="28DA41F9"/>
    <w:rsid w:val="498A5B11"/>
    <w:rsid w:val="4BC333F6"/>
    <w:rsid w:val="4DD71818"/>
    <w:rsid w:val="51A80954"/>
    <w:rsid w:val="536C539F"/>
    <w:rsid w:val="5CB34D44"/>
    <w:rsid w:val="66A27F4E"/>
    <w:rsid w:val="66E15097"/>
    <w:rsid w:val="6C4A58F3"/>
    <w:rsid w:val="6C900A85"/>
    <w:rsid w:val="78166CE4"/>
    <w:rsid w:val="78B60EA6"/>
    <w:rsid w:val="7E1D5300"/>
    <w:rsid w:val="B6FFB428"/>
    <w:rsid w:val="BEB6F709"/>
    <w:rsid w:val="DBA686E3"/>
    <w:rsid w:val="EDF8FA8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3</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2019-01-23T12:00:00Z</dcterms:created>
  <dc:creator>yss</dc:creator>
  <cp:lastModifiedBy>孙雯</cp:lastModifiedBy>
  <dcterms:modified xsi:type="dcterms:W3CDTF">2024-03-15T08:15:43Z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