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w:t>
      </w:r>
      <w:r>
        <w:rPr>
          <w:rFonts w:hint="eastAsia" w:ascii="宋体" w:hAnsi="宋体"/>
          <w:b/>
          <w:sz w:val="40"/>
          <w:szCs w:val="40"/>
          <w:lang w:val="en-US" w:eastAsia="zh-Hans"/>
        </w:rPr>
        <w:t>兴享价值深耕</w:t>
      </w:r>
      <w:r>
        <w:rPr>
          <w:rFonts w:hint="default" w:ascii="宋体" w:hAnsi="宋体"/>
          <w:b/>
          <w:sz w:val="40"/>
          <w:szCs w:val="40"/>
          <w:lang w:eastAsia="zh-Hans"/>
        </w:rPr>
        <w:t>8</w:t>
      </w:r>
      <w:r>
        <w:rPr>
          <w:rFonts w:hint="eastAsia" w:ascii="宋体" w:hAnsi="宋体"/>
          <w:b/>
          <w:sz w:val="40"/>
          <w:szCs w:val="40"/>
          <w:lang w:val="en-US" w:eastAsia="zh-Hans"/>
        </w:rPr>
        <w:t>号集合</w:t>
      </w:r>
      <w:r>
        <w:rPr>
          <w:rFonts w:hint="eastAsia" w:ascii="宋体" w:hAnsi="宋体"/>
          <w:b/>
          <w:sz w:val="40"/>
          <w:szCs w:val="40"/>
        </w:rPr>
        <w:t>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Hans"/>
        </w:rPr>
        <w:t>广发</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兴证期货-兴享价值深耕8号集合资产管理计划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SVN042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2022-05-27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default" w:eastAsia="宋体"/>
                <w:lang w:val="en-US" w:eastAsia="zh-Hans"/>
              </w:rPr>
            </w:pPr>
            <w:r>
              <w:rPr>
                <w:rFonts w:hint="eastAsia"/>
                <w:lang w:val="en-US" w:eastAsia="zh-Hans"/>
              </w:rPr>
              <w:t>中庚基金管理有限公司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12396.05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2032-05-26</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1、资产配置策略本产品在系统分析宏观经济、证券市场等环境不断演化变迁的基础上，基于风险溢价模型跨资产类别比较不同资产的风险水平或者溢价水平，根据组合的风险和预期回报目标来确定承担风险以及预期回报的水平，采取谨慎、稳健的投资管理策略，进行灵活配置权益、债权、商品及金融衍生品类资产等各类别资产，在严格控制投资组合的风险基础上，积极提高投资组合的收益。2、股票投资策略（1）普通股票投资策略本产品将基于PB-ROE的价值选股框架来选择个股，用自下而上的方式主动发掘优秀价值型上市公司，并采用定量分析与定性分析相结合的方法对上市公司进行价值体系评估，构建股票投资组合。本产品将特别关注上市公司的PB-ROE水平，上市公司的盈利能力和其股票估值具有很强的正相关性：高盈利能力公司的估值最终会比低盈利能力公司的高；盈利能力相近的公司最终会有相近的估值。如果公司股价相对盈利能力“被低估”，则更有可能趋于价值回归。管理人以PB(市净率)来衡量公司的估值，以ROE(净资产收益率)来衡量公司的盈利能力，通过对全市场个股PB、ROE分布进行分析，得出均衡水平，并借此找出低于均衡水平的“低估值”标的。借助PB-ROE策略找到相对“低估值”，即性价比更高的公司。（2）港股通标的股票投资策略本基金将采用自下而上的个股精选策略，结合香港市场行业及个股估值水平差异等因素，精选符合本基金投资目标的港股通标的股票。本产品将通过对市场上风险因子的主动暴露的方式，依托完善的风险投资框架，实现主动的风险管控，进而进化出适应市场风格的投资策略。本产品的价值策略也将考虑公司的业务发展规划与前景、公司各项主要业务的市场份额及增长趋势、公司资本结构及经营风险水平、公司治理结构等多种因素，进行长期布局。3、债券投资策略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基于本计划的投资范围及投资策略，本计划不承诺保本及最低收益，属预期风险等级【R5】级的投资品种，适合具有【C5】级别风险识别、评估、承受能力的合格投资者。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t>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上海市浦东新区长柳路36号兴业证券大厦8层</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rPr>
                <w:rFonts w:hint="eastAsia" w:ascii="宋体" w:hAnsi="宋体"/>
                <w:lang w:val="en-US" w:eastAsia="zh-CN"/>
              </w:rP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ind w:firstLine="420" w:firstLineChars="200"/>
              <w:jc w:val="left"/>
              <w:textAlignment w:val="center"/>
            </w:pPr>
            <w:r>
              <w:rPr>
                <w:rFonts w:hint="eastAsia"/>
              </w:rPr>
              <w:t>资产管理人向资产委托人提供的报告，将严格按照有关规定通过以下至少一种方式进行。资产委托人信息查询将通过以下至少一种中国证监会允许的、本合同约定的方式进行。</w:t>
            </w:r>
          </w:p>
          <w:p>
            <w:pPr>
              <w:widowControl/>
              <w:ind w:firstLine="420" w:firstLineChars="200"/>
              <w:jc w:val="left"/>
              <w:textAlignment w:val="center"/>
            </w:pPr>
            <w:r>
              <w:rPr>
                <w:rFonts w:hint="eastAsia"/>
              </w:rPr>
              <w:t>1、网站</w:t>
            </w:r>
          </w:p>
          <w:p>
            <w:pPr>
              <w:widowControl/>
              <w:ind w:firstLine="420" w:firstLineChars="200"/>
              <w:jc w:val="left"/>
              <w:textAlignment w:val="center"/>
            </w:pPr>
            <w:r>
              <w:rPr>
                <w:rFonts w:hint="eastAsia"/>
              </w:rPr>
              <w:t>定期报告、临时报告等有关本资产管理计划的信息将在资产管理人指定网站（http://simu.yixinfund.com）上披露，资产委托人可随时查阅。</w:t>
            </w:r>
          </w:p>
          <w:p>
            <w:pPr>
              <w:widowControl/>
              <w:ind w:firstLine="420" w:firstLineChars="200"/>
              <w:jc w:val="left"/>
              <w:textAlignment w:val="center"/>
            </w:pPr>
            <w:r>
              <w:rPr>
                <w:rFonts w:hint="eastAsia"/>
              </w:rPr>
              <w:t>2、传真、电子邮件或手机短信等</w:t>
            </w:r>
          </w:p>
          <w:p>
            <w:pPr>
              <w:widowControl/>
              <w:ind w:firstLine="420" w:firstLineChars="200"/>
              <w:jc w:val="left"/>
              <w:textAlignment w:val="center"/>
            </w:pPr>
            <w:r>
              <w:rPr>
                <w:rFonts w:hint="eastAsia"/>
              </w:rPr>
              <w:t>如委托人办理资产管理计划认购、参与或退出等业务时留有传真号、电子邮箱、手机及电话号码等联系方式的，资产管理人也可通过传真、电子邮件、手机短信、电话、电报等方式将报告信息通知资产委托人。资产委托人上述联系方式若发生变更应当及时通知资产管理人。</w:t>
            </w:r>
          </w:p>
          <w:p>
            <w:pPr>
              <w:widowControl/>
              <w:jc w:val="left"/>
              <w:textAlignment w:val="center"/>
            </w:pP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Hans"/>
              </w:rPr>
            </w:pPr>
            <w:r>
              <w:rPr>
                <w:rFonts w:hint="eastAsia"/>
                <w:lang w:val="en-US" w:eastAsia="zh-Hans"/>
              </w:rPr>
              <w:t>无</w:t>
            </w:r>
          </w:p>
        </w:tc>
        <w:tc>
          <w:tcPr>
            <w:tcW w:w="3326"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-5150480.81</w:t>
            </w:r>
          </w:p>
        </w:tc>
        <w:tc>
          <w:tcPr>
            <w:tcW w:w="2216" w:type="dxa"/>
            <w:vAlign w:val="center"/>
          </w:tcPr>
          <w:p>
            <w:r>
              <w:t>9621777.07</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-3820859.73</w:t>
            </w:r>
          </w:p>
        </w:tc>
        <w:tc>
          <w:tcPr>
            <w:tcW w:w="2216" w:type="dxa"/>
            <w:tcBorders>
              <w:bottom w:val="single" w:color="auto" w:sz="4" w:space="0"/>
            </w:tcBorders>
            <w:vAlign w:val="center"/>
          </w:tcPr>
          <w:p>
            <w:r>
              <w:t>4211633.40</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-1581396.55</w:t>
            </w:r>
          </w:p>
        </w:tc>
        <w:tc>
          <w:tcPr>
            <w:tcW w:w="2216" w:type="dxa"/>
            <w:vAlign w:val="center"/>
          </w:tcPr>
          <w:p>
            <w:r>
              <w:t>4212033.41</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-0.0128</w:t>
            </w:r>
          </w:p>
        </w:tc>
        <w:tc>
          <w:tcPr>
            <w:tcW w:w="2216" w:type="dxa"/>
            <w:vAlign w:val="center"/>
          </w:tcPr>
          <w:p>
            <w:r>
              <w:t>0.0246</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122379139.84</w:t>
            </w:r>
          </w:p>
        </w:tc>
        <w:tc>
          <w:tcPr>
            <w:tcW w:w="2216" w:type="dxa"/>
            <w:vAlign w:val="center"/>
          </w:tcPr>
          <w:p>
            <w:r>
              <w:t>175426859.24</w:t>
            </w: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0.9872</w:t>
            </w:r>
          </w:p>
        </w:tc>
        <w:tc>
          <w:tcPr>
            <w:tcW w:w="2216" w:type="dxa"/>
            <w:tcBorders>
              <w:bottom w:val="single" w:color="auto" w:sz="4" w:space="0"/>
            </w:tcBorders>
            <w:vAlign w:val="center"/>
          </w:tcPr>
          <w:p>
            <w:r>
              <w:t>1.0246</w:t>
            </w: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-1.28</w:t>
            </w:r>
          </w:p>
        </w:tc>
        <w:tc>
          <w:tcPr>
            <w:tcW w:w="2216" w:type="dxa"/>
            <w:vAlign w:val="center"/>
          </w:tcPr>
          <w:p>
            <w:r>
              <w:t>2.46</w:t>
            </w: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-3.65</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-1.28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r>
              <w:t>0</w:t>
            </w:r>
          </w:p>
        </w:tc>
        <w:tc>
          <w:tcPr>
            <w:tcW w:w="1607" w:type="dxa"/>
            <w:shd w:val="clear" w:color="auto" w:fill="FFFFFF"/>
            <w:vAlign w:val="center"/>
          </w:tcPr>
          <w:p>
            <w:r>
              <w:t>0</w:t>
            </w:r>
          </w:p>
        </w:tc>
        <w:tc>
          <w:tcPr>
            <w:tcW w:w="1559" w:type="dxa"/>
            <w:shd w:val="clear" w:color="auto" w:fill="FFFFFF"/>
            <w:vAlign w:val="center"/>
          </w:tcPr>
          <w:p>
            <w:r>
              <w:t>0</w:t>
            </w:r>
          </w:p>
        </w:tc>
        <w:tc>
          <w:tcPr>
            <w:tcW w:w="1559" w:type="dxa"/>
            <w:shd w:val="clear" w:color="auto" w:fill="FFFFFF"/>
            <w:vAlign w:val="center"/>
          </w:tcPr>
          <w:p>
            <w:r>
              <w:t>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17121.482583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4725.428944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12396.053639</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jc w:val="left"/>
              <w:rPr>
                <w:rFonts w:hint="eastAsia" w:ascii="Times New Roman" w:hAnsi="Times New Roman"/>
              </w:rPr>
            </w:pPr>
            <w:r>
              <w:rPr>
                <w:rFonts w:hint="eastAsia"/>
                <w:lang w:val="en-US" w:eastAsia="zh-CN"/>
              </w:rPr>
              <w:t>4</w:t>
            </w:r>
            <w:r>
              <w:rPr>
                <w:rFonts w:hint="eastAsia" w:ascii="Times New Roman" w:hAnsi="Times New Roman"/>
              </w:rPr>
              <w:t>.1 报告期内基金投资决策依据和业绩表现</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本计划核心策略为量化选股策略，且同时交易港股和A股，由于敞口主要为多头，故策略主要风险为市场发生系统性下跌风险。在此情况下产品净值将出现较大回撤。截止2023年</w:t>
            </w:r>
            <w:r>
              <w:rPr>
                <w:rFonts w:hint="eastAsia" w:ascii="Times New Roman" w:hAnsi="Times New Roman"/>
                <w:lang w:val="en-US" w:eastAsia="zh-CN"/>
              </w:rPr>
              <w:t>12</w:t>
            </w:r>
            <w:r>
              <w:rPr>
                <w:rFonts w:hint="eastAsia" w:ascii="Times New Roman" w:hAnsi="Times New Roman"/>
              </w:rPr>
              <w:t>月3</w:t>
            </w:r>
            <w:r>
              <w:rPr>
                <w:rFonts w:hint="eastAsia" w:ascii="Times New Roman" w:hAnsi="Times New Roman"/>
                <w:lang w:val="en-US" w:eastAsia="zh-CN"/>
              </w:rPr>
              <w:t>1</w:t>
            </w:r>
            <w:r>
              <w:rPr>
                <w:rFonts w:hint="eastAsia" w:ascii="Times New Roman" w:hAnsi="Times New Roman"/>
              </w:rPr>
              <w:t>日本基金期末基金单位净值为</w:t>
            </w:r>
            <w:r>
              <w:rPr>
                <w:rFonts w:hint="eastAsia" w:ascii="Times New Roman" w:hAnsi="Times New Roman"/>
                <w:lang w:val="en-US" w:eastAsia="zh-CN"/>
              </w:rPr>
              <w:t>0.</w:t>
            </w:r>
            <w:r>
              <w:rPr>
                <w:rFonts w:hint="eastAsia"/>
                <w:lang w:val="en-US" w:eastAsia="zh-CN"/>
              </w:rPr>
              <w:t>9872</w:t>
            </w:r>
            <w:r>
              <w:rPr>
                <w:rFonts w:hint="eastAsia" w:ascii="Times New Roman" w:hAnsi="Times New Roman"/>
              </w:rPr>
              <w:t>元，期末基金累计单位净值</w:t>
            </w:r>
            <w:r>
              <w:rPr>
                <w:rFonts w:hint="eastAsia" w:ascii="Times New Roman" w:hAnsi="Times New Roman"/>
                <w:lang w:val="en-US" w:eastAsia="zh-CN"/>
              </w:rPr>
              <w:t>0.9</w:t>
            </w:r>
            <w:r>
              <w:rPr>
                <w:rFonts w:hint="eastAsia"/>
                <w:lang w:val="en-US" w:eastAsia="zh-CN"/>
              </w:rPr>
              <w:t>872</w:t>
            </w:r>
            <w:r>
              <w:rPr>
                <w:rFonts w:hint="eastAsia" w:ascii="Times New Roman" w:hAnsi="Times New Roman"/>
              </w:rPr>
              <w:t>元。</w:t>
            </w:r>
            <w:r>
              <w:rPr>
                <w:rFonts w:hint="eastAsia" w:ascii="Times New Roman" w:hAnsi="Times New Roman"/>
              </w:rPr>
              <w:br w:type="textWrapping"/>
            </w:r>
            <w:r>
              <w:rPr>
                <w:rFonts w:hint="eastAsia"/>
                <w:lang w:val="en-US" w:eastAsia="zh-CN"/>
              </w:rPr>
              <w:t>4</w:t>
            </w:r>
            <w:r>
              <w:rPr>
                <w:rFonts w:hint="eastAsia" w:ascii="Times New Roman" w:hAnsi="Times New Roman"/>
              </w:rPr>
              <w:t>.2 投资经理</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本计划投资经理为廉正（期货从业资格编码：F3054039）、邢敏（期货从业资格编码：F03087819）、于淼（期货从业资格编码：F03116823）。</w:t>
            </w:r>
          </w:p>
          <w:p>
            <w:pPr>
              <w:jc w:val="left"/>
              <w:rPr>
                <w:rFonts w:hint="eastAsia" w:ascii="Times New Roman" w:hAnsi="Times New Roman"/>
              </w:rPr>
            </w:pPr>
            <w:bookmarkStart w:id="0" w:name="_GoBack"/>
            <w:bookmarkEnd w:id="0"/>
            <w:r>
              <w:rPr>
                <w:rFonts w:hint="eastAsia"/>
                <w:lang w:val="en-US" w:eastAsia="zh-CN"/>
              </w:rPr>
              <w:t xml:space="preserve">    </w:t>
            </w:r>
            <w:r>
              <w:rPr>
                <w:rFonts w:hint="eastAsia" w:ascii="Times New Roman" w:hAnsi="Times New Roman"/>
              </w:rPr>
              <w:t>投资经理从业经验：</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廉正，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r>
              <w:rPr>
                <w:rFonts w:hint="eastAsia" w:ascii="Times New Roman" w:hAnsi="Times New Roman"/>
              </w:rPr>
              <w:br w:type="textWrapping"/>
            </w:r>
            <w:r>
              <w:rPr>
                <w:rFonts w:hint="eastAsia"/>
                <w:lang w:val="en-US" w:eastAsia="zh-CN"/>
              </w:rPr>
              <w:t xml:space="preserve">    </w:t>
            </w:r>
            <w:r>
              <w:rPr>
                <w:rFonts w:hint="eastAsia" w:ascii="Times New Roman" w:hAnsi="Times New Roman"/>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jc w:val="left"/>
              <w:rPr>
                <w:rFonts w:hint="eastAsia" w:ascii="Times New Roman" w:hAnsi="Times New Roman"/>
              </w:rPr>
            </w:pPr>
            <w:r>
              <w:rPr>
                <w:rFonts w:hint="eastAsia" w:ascii="Times New Roman" w:hAnsi="Times New Roman"/>
              </w:rPr>
              <w:t>于淼，期货从业资格编码：F03116823，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具有基金从业资格，最近三年未被监管机构采取行政监管措施、行政处罚。</w:t>
            </w:r>
          </w:p>
          <w:p>
            <w:pPr>
              <w:ind w:firstLine="420" w:firstLineChars="200"/>
              <w:jc w:val="left"/>
              <w:rPr>
                <w:rFonts w:hint="eastAsia" w:ascii="Times New Roman" w:hAnsi="Times New Roman"/>
              </w:rPr>
            </w:pPr>
            <w:r>
              <w:rPr>
                <w:rFonts w:hint="eastAsia" w:ascii="Times New Roman" w:hAnsi="Times New Roman"/>
              </w:rPr>
              <w:t>本计划投资经理符合法律法规规定的以下条件：</w:t>
            </w:r>
          </w:p>
          <w:p>
            <w:pPr>
              <w:ind w:firstLine="420" w:firstLineChars="200"/>
              <w:jc w:val="left"/>
              <w:rPr>
                <w:rFonts w:hint="eastAsia" w:ascii="Times New Roman" w:hAnsi="Times New Roman"/>
              </w:rPr>
            </w:pPr>
            <w:r>
              <w:rPr>
                <w:rFonts w:hint="eastAsia" w:ascii="Times New Roman" w:hAnsi="Times New Roman"/>
              </w:rPr>
              <w:t>（1）已取得从业资格；</w:t>
            </w:r>
          </w:p>
          <w:p>
            <w:pPr>
              <w:ind w:firstLine="420" w:firstLineChars="200"/>
              <w:jc w:val="left"/>
              <w:rPr>
                <w:rFonts w:hint="eastAsia" w:ascii="Times New Roman" w:hAnsi="Times New Roman"/>
              </w:rPr>
            </w:pPr>
            <w:r>
              <w:rPr>
                <w:rFonts w:hint="eastAsia" w:ascii="Times New Roman" w:hAnsi="Times New Roman"/>
              </w:rPr>
              <w:t>（2）具有3年以上投资管理、投资研究、投资咨询等相关业务经验；</w:t>
            </w:r>
          </w:p>
          <w:p>
            <w:pPr>
              <w:ind w:firstLine="420" w:firstLineChars="200"/>
              <w:jc w:val="left"/>
              <w:rPr>
                <w:rFonts w:hint="eastAsia" w:ascii="Times New Roman" w:hAnsi="Times New Roman"/>
              </w:rPr>
            </w:pPr>
            <w:r>
              <w:rPr>
                <w:rFonts w:hint="eastAsia" w:ascii="Times New Roman" w:hAnsi="Times New Roman"/>
              </w:rPr>
              <w:t>（3）具有良好的诚信记录及职业操守，且最近3年未被监管机构采取重大行政监管措施、行政处罚。</w:t>
            </w:r>
          </w:p>
          <w:p>
            <w:pPr>
              <w:ind w:firstLine="420" w:firstLineChars="200"/>
              <w:jc w:val="left"/>
              <w:rPr>
                <w:rFonts w:hint="eastAsia" w:ascii="Times New Roman" w:hAnsi="Times New Roman"/>
              </w:rPr>
            </w:pPr>
            <w:r>
              <w:rPr>
                <w:rFonts w:hint="eastAsia" w:ascii="Times New Roman" w:hAnsi="Times New Roman"/>
              </w:rPr>
              <w:t>本计划投资顾问为中庚基金管理有限公司，在本计划运作期间，投资顾问勤勉尽责为本计划提供投资建议，与我司不存在利益输送及其他不合规行为。投资顾问是经中国证监会证监许可[2018]918号文批准设立并持续经营的公募基金管理公司。该公司建立了专业化的投资管理机制，目前已经拥有一支具有丰富的投资经验、具有良好的业务能力和职业道德、具有团队协作和开拓创新精神的专业化团队。同时，该公司具备完善的风险控制体制，通过完善各类风险控制制度，建立全面的风险控制体系，最大程度上避免内部与外部风险对投资者利益的侵害。该公司的管理团队和投资研究团队在业内声誉良好，无不良从业记录，并有可追溯投资管理业绩证明。</w:t>
            </w:r>
            <w:r>
              <w:rPr>
                <w:rFonts w:hint="eastAsia" w:ascii="Times New Roman" w:hAnsi="Times New Roman"/>
              </w:rPr>
              <w:br w:type="textWrapping"/>
            </w:r>
            <w:r>
              <w:rPr>
                <w:rFonts w:hint="eastAsia"/>
                <w:lang w:val="en-US" w:eastAsia="zh-CN"/>
              </w:rPr>
              <w:t>4</w:t>
            </w:r>
            <w:r>
              <w:rPr>
                <w:rFonts w:hint="eastAsia" w:ascii="Times New Roman" w:hAnsi="Times New Roman"/>
              </w:rPr>
              <w:t>.3 报告期内基金估值程序</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r>
              <w:rPr>
                <w:rFonts w:hint="eastAsia" w:ascii="Times New Roman" w:hAnsi="Times New Roman"/>
              </w:rPr>
              <w:br w:type="textWrapping"/>
            </w:r>
            <w:r>
              <w:rPr>
                <w:rFonts w:hint="eastAsia"/>
                <w:lang w:val="en-US" w:eastAsia="zh-CN"/>
              </w:rPr>
              <w:t>4</w:t>
            </w:r>
            <w:r>
              <w:rPr>
                <w:rFonts w:hint="eastAsia" w:ascii="Times New Roman" w:hAnsi="Times New Roman"/>
              </w:rPr>
              <w:t>.4 报告期内管理人履职情况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公司在资产管理业务经营过程中，将严格遵守以下管理人的职责：</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（1）依法办理资产管理计划的销售、登记、备案事宜；</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（2）对所管理的不同资产管理计划的受托财产分别管理、分别记账，进行投资；</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（3）按照资产管理合同的约定确定收益分配方案，及时向投资者分配收益；</w:t>
            </w:r>
          </w:p>
          <w:p>
            <w:pPr>
              <w:ind w:firstLine="420" w:firstLineChars="200"/>
              <w:jc w:val="left"/>
              <w:rPr>
                <w:rFonts w:hint="eastAsia" w:ascii="Times New Roman" w:hAnsi="Times New Roman"/>
              </w:rPr>
            </w:pPr>
            <w:r>
              <w:rPr>
                <w:rFonts w:hint="eastAsia" w:ascii="Times New Roman" w:hAnsi="Times New Roman"/>
                <w:lang w:eastAsia="zh-CN"/>
              </w:rPr>
              <w:t>（</w:t>
            </w:r>
            <w:r>
              <w:rPr>
                <w:rFonts w:hint="eastAsia" w:ascii="Times New Roman" w:hAnsi="Times New Roman"/>
                <w:lang w:val="en-US" w:eastAsia="zh-CN"/>
              </w:rPr>
              <w:t>4</w:t>
            </w:r>
            <w:r>
              <w:rPr>
                <w:rFonts w:hint="eastAsia" w:ascii="Times New Roman" w:hAnsi="Times New Roman"/>
                <w:lang w:eastAsia="zh-CN"/>
              </w:rPr>
              <w:t>）</w:t>
            </w:r>
            <w:r>
              <w:rPr>
                <w:rFonts w:hint="eastAsia" w:ascii="Times New Roman" w:hAnsi="Times New Roman"/>
              </w:rPr>
              <w:t>进行资产管理计划会计核算并编制资产管理计划财务会计报告；</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）依法计算并披露资产管理计划净值，确定参与、退出价格；</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6</w:t>
            </w:r>
            <w:r>
              <w:rPr>
                <w:rFonts w:hint="eastAsia" w:ascii="Times New Roman" w:hAnsi="Times New Roman"/>
              </w:rPr>
              <w:t>）办理与受托财产管理业务活动有关的信息披露事项；</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7</w:t>
            </w:r>
            <w:r>
              <w:rPr>
                <w:rFonts w:hint="eastAsia" w:ascii="Times New Roman" w:hAnsi="Times New Roman"/>
              </w:rPr>
              <w:t>）保存受托财产管理业务活动的记录、账册、报表和其他相关资料；</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）以管理人名义，代表投资者利益行使诉讼权利或者实施其他法律行为；</w:t>
            </w:r>
          </w:p>
          <w:p>
            <w:pPr>
              <w:widowControl/>
              <w:ind w:firstLine="420" w:firstLineChars="200"/>
              <w:jc w:val="left"/>
              <w:textAlignment w:val="auto"/>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w:t>
            </w:r>
            <w:r>
              <w:rPr>
                <w:rFonts w:hint="eastAsia" w:ascii="Times New Roman" w:hAnsi="Times New Roman"/>
              </w:rPr>
              <w:t>保证向投资者支付的受托资金及收益返回其参与资产管理计划时使用的结算账户或其同名账户</w:t>
            </w:r>
            <w:r>
              <w:rPr>
                <w:rFonts w:hint="eastAsia" w:ascii="Times New Roman" w:hAnsi="Times New Roman"/>
              </w:rPr>
              <w:br w:type="textWrapping"/>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w:t>
            </w:r>
            <w:r>
              <w:rPr>
                <w:rFonts w:hint="eastAsia" w:ascii="Times New Roman" w:hAnsi="Times New Roman"/>
                <w:lang w:val="en-US" w:eastAsia="zh-CN"/>
              </w:rPr>
              <w:t>10</w:t>
            </w:r>
            <w:r>
              <w:rPr>
                <w:rFonts w:hint="eastAsia" w:ascii="Times New Roman" w:hAnsi="Times New Roman"/>
              </w:rPr>
              <w:t>）法律、行政法规和中国证监会规定的其他职责。</w:t>
            </w:r>
            <w:r>
              <w:rPr>
                <w:rFonts w:hint="eastAsia" w:ascii="Times New Roman" w:hAnsi="Times New Roman"/>
              </w:rPr>
              <w:br w:type="textWrapping"/>
            </w:r>
            <w:r>
              <w:rPr>
                <w:rFonts w:hint="eastAsia"/>
                <w:lang w:val="en-US" w:eastAsia="zh-CN"/>
              </w:rPr>
              <w:t>4</w:t>
            </w:r>
            <w:r>
              <w:rPr>
                <w:rFonts w:hint="eastAsia" w:ascii="Times New Roman" w:hAnsi="Times New Roman"/>
              </w:rPr>
              <w:t>.5 文件存放地点</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兴证期货有限公司</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地址：上海市浦东新区长柳路36号兴业证券大厦8楼</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联 系 人：</w:t>
            </w:r>
            <w:r>
              <w:rPr>
                <w:rFonts w:hint="eastAsia" w:ascii="宋体" w:hAnsi="宋体"/>
                <w:szCs w:val="21"/>
                <w:lang w:val="en-US" w:eastAsia="zh-CN"/>
              </w:rPr>
              <w:t>孙雯</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服务电话：</w:t>
            </w:r>
            <w:r>
              <w:rPr>
                <w:rFonts w:hint="eastAsia" w:ascii="宋体" w:hAnsi="宋体"/>
                <w:szCs w:val="21"/>
              </w:rPr>
              <w:t>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投资者对本报告书如有任何疑问，可以咨询管理人兴证期货有限公司。</w:t>
            </w:r>
            <w:r>
              <w:rPr>
                <w:rFonts w:hint="eastAsia" w:ascii="Times New Roman" w:hAnsi="Times New Roman"/>
              </w:rPr>
              <w:br w:type="textWrapping"/>
            </w:r>
            <w:r>
              <w:rPr>
                <w:rFonts w:hint="eastAsia"/>
                <w:lang w:val="en-US" w:eastAsia="zh-CN"/>
              </w:rPr>
              <w:t>4.</w:t>
            </w:r>
            <w:r>
              <w:rPr>
                <w:rFonts w:hint="eastAsia" w:ascii="Times New Roman" w:hAnsi="Times New Roman"/>
              </w:rPr>
              <w:t>6</w:t>
            </w:r>
            <w:r>
              <w:rPr>
                <w:rFonts w:hint="eastAsia"/>
                <w:lang w:val="en-US" w:eastAsia="zh-CN"/>
              </w:rPr>
              <w:t xml:space="preserve"> </w:t>
            </w:r>
            <w:r>
              <w:rPr>
                <w:rFonts w:hint="eastAsia" w:ascii="Times New Roman" w:hAnsi="Times New Roman"/>
              </w:rPr>
              <w:t>报告期内其他说明情况</w:t>
            </w:r>
            <w:r>
              <w:rPr>
                <w:rFonts w:hint="eastAsia" w:ascii="Times New Roman" w:hAnsi="Times New Roman"/>
              </w:rPr>
              <w:br w:type="textWrapping"/>
            </w:r>
            <w:r>
              <w:rPr>
                <w:rFonts w:hint="eastAsia" w:ascii="Times New Roman" w:hAnsi="Times New Roman"/>
                <w:lang w:val="en-US" w:eastAsia="zh-CN"/>
              </w:rPr>
              <w:t xml:space="preserve">    </w:t>
            </w:r>
            <w:r>
              <w:rPr>
                <w:rFonts w:hint="eastAsia" w:ascii="Times New Roman" w:hAnsi="Times New Roman"/>
              </w:rPr>
              <w:t>本计划本报告期内新增投资经理于淼</w:t>
            </w:r>
            <w:r>
              <w:rPr>
                <w:rFonts w:hint="eastAsia"/>
                <w:lang w:eastAsia="zh-CN"/>
              </w:rPr>
              <w:t>。</w:t>
            </w:r>
            <w:r>
              <w:rPr>
                <w:rFonts w:hint="eastAsia" w:ascii="Times New Roman" w:hAnsi="Times New Roman"/>
              </w:rPr>
              <w:t>报告期内未进行利润分配、未发生关联交易、未发生损害投资者利益的事件及其他不符合法律法规的事项。公司将继续遵守相关法律法规要求，严格履行管理人职责。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kern w:val="2"/>
                <w:sz w:val="21"/>
                <w:szCs w:val="20"/>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kern w:val="2"/>
                <w:sz w:val="21"/>
                <w:szCs w:val="20"/>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Times New Roman" w:hAnsi="Times New Roman" w:cs="Times New Roman"/>
                <w:kern w:val="2"/>
                <w:sz w:val="21"/>
                <w:szCs w:val="20"/>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1489039.08</w:t>
            </w:r>
          </w:p>
        </w:tc>
        <w:tc>
          <w:tcPr>
            <w:tcW w:w="2955" w:type="dxa"/>
            <w:shd w:val="clear" w:color="auto" w:fill="FFFFFF"/>
            <w:vAlign w:val="center"/>
          </w:tcPr>
          <w:p>
            <w:r>
              <w:t>288774.88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1646857.70</w:t>
            </w:r>
          </w:p>
        </w:tc>
        <w:tc>
          <w:tcPr>
            <w:tcW w:w="2955" w:type="dxa"/>
            <w:shd w:val="clear" w:color="auto" w:fill="FFFFFF"/>
            <w:vAlign w:val="center"/>
          </w:tcPr>
          <w:p>
            <w:r>
              <w:t>3441560.78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112086696.86</w:t>
            </w:r>
          </w:p>
        </w:tc>
        <w:tc>
          <w:tcPr>
            <w:tcW w:w="2955" w:type="dxa"/>
            <w:shd w:val="clear" w:color="auto" w:fill="FFFFFF"/>
            <w:vAlign w:val="center"/>
          </w:tcPr>
          <w:p>
            <w:r>
              <w:t>172709322.42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97943356.30</w:t>
            </w:r>
          </w:p>
        </w:tc>
        <w:tc>
          <w:tcPr>
            <w:tcW w:w="2955" w:type="dxa"/>
            <w:shd w:val="clear" w:color="auto" w:fill="FFFFFF"/>
            <w:vAlign w:val="center"/>
          </w:tcPr>
          <w:p>
            <w:r>
              <w:t>142178477.09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14143340.56</w:t>
            </w:r>
          </w:p>
        </w:tc>
        <w:tc>
          <w:tcPr>
            <w:tcW w:w="2955" w:type="dxa"/>
            <w:shd w:val="clear" w:color="auto" w:fill="FFFFFF"/>
            <w:vAlign w:val="center"/>
          </w:tcPr>
          <w:p>
            <w:r>
              <w:t>30530845.33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40820.00</w:t>
            </w:r>
          </w:p>
        </w:tc>
        <w:tc>
          <w:tcPr>
            <w:tcW w:w="2955" w:type="dxa"/>
            <w:shd w:val="clear" w:color="auto" w:fill="FFFFFF"/>
            <w:vAlign w:val="center"/>
          </w:tcPr>
          <w:p>
            <w:r>
              <w:t>1110580.00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8999221.96</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124262635.60</w:t>
            </w:r>
          </w:p>
        </w:tc>
        <w:tc>
          <w:tcPr>
            <w:tcW w:w="2955" w:type="dxa"/>
            <w:tcBorders>
              <w:bottom w:val="single" w:color="auto" w:sz="4" w:space="0"/>
            </w:tcBorders>
            <w:shd w:val="clear" w:color="auto" w:fill="FFFFFF"/>
            <w:vAlign w:val="center"/>
          </w:tcPr>
          <w:p>
            <w:r>
              <w:t>177550238.08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591263.21</w:t>
            </w:r>
          </w:p>
        </w:tc>
        <w:tc>
          <w:tcPr>
            <w:tcW w:w="2955" w:type="dxa"/>
            <w:shd w:val="clear" w:color="auto" w:fill="FFFFFF"/>
            <w:vAlign w:val="center"/>
          </w:tcPr>
          <w:p>
            <w:r>
              <w:t>767429.41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672255.79</w:t>
            </w:r>
          </w:p>
        </w:tc>
        <w:tc>
          <w:tcPr>
            <w:tcW w:w="2955" w:type="dxa"/>
            <w:shd w:val="clear" w:color="auto" w:fill="FFFFFF"/>
            <w:vAlign w:val="center"/>
          </w:tcPr>
          <w:p>
            <w:r>
              <w:t>504929.85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8003.05</w:t>
            </w:r>
          </w:p>
        </w:tc>
        <w:tc>
          <w:tcPr>
            <w:tcW w:w="2955" w:type="dxa"/>
            <w:shd w:val="clear" w:color="auto" w:fill="FFFFFF"/>
            <w:vAlign w:val="center"/>
          </w:tcPr>
          <w:p>
            <w:r>
              <w:t>11475.63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600650.66</w:t>
            </w:r>
          </w:p>
        </w:tc>
        <w:tc>
          <w:tcPr>
            <w:tcW w:w="2955" w:type="dxa"/>
            <w:shd w:val="clear" w:color="auto" w:fill="FFFFFF"/>
            <w:vAlign w:val="center"/>
          </w:tcPr>
          <w:p>
            <w:r>
              <w:t>368241.19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11323.05</w:t>
            </w:r>
          </w:p>
        </w:tc>
        <w:tc>
          <w:tcPr>
            <w:tcW w:w="2955" w:type="dxa"/>
            <w:shd w:val="clear" w:color="auto" w:fill="FFFFFF"/>
            <w:vAlign w:val="center"/>
          </w:tcPr>
          <w:p>
            <w:r>
              <w:t>471302.76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1883495.76</w:t>
            </w:r>
          </w:p>
        </w:tc>
        <w:tc>
          <w:tcPr>
            <w:tcW w:w="2955" w:type="dxa"/>
            <w:shd w:val="clear" w:color="auto" w:fill="FFFFFF"/>
            <w:vAlign w:val="center"/>
          </w:tcPr>
          <w:p>
            <w:r>
              <w:t>2123378.84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123960536.39</w:t>
            </w:r>
          </w:p>
        </w:tc>
        <w:tc>
          <w:tcPr>
            <w:tcW w:w="2955" w:type="dxa"/>
            <w:shd w:val="clear" w:color="auto" w:fill="FFFFFF"/>
            <w:vAlign w:val="center"/>
          </w:tcPr>
          <w:p>
            <w:r>
              <w:t>171214825.83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-1581396.55</w:t>
            </w:r>
          </w:p>
        </w:tc>
        <w:tc>
          <w:tcPr>
            <w:tcW w:w="2955" w:type="dxa"/>
            <w:shd w:val="clear" w:color="auto" w:fill="FFFFFF"/>
            <w:vAlign w:val="center"/>
          </w:tcPr>
          <w:p>
            <w:r>
              <w:t>4212033.41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122379139.84</w:t>
            </w:r>
          </w:p>
        </w:tc>
        <w:tc>
          <w:tcPr>
            <w:tcW w:w="2955" w:type="dxa"/>
            <w:shd w:val="clear" w:color="auto" w:fill="FFFFFF"/>
            <w:vAlign w:val="center"/>
          </w:tcPr>
          <w:p>
            <w:r>
              <w:t>175426859.24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124262635.60</w:t>
            </w:r>
          </w:p>
        </w:tc>
        <w:tc>
          <w:tcPr>
            <w:tcW w:w="2955" w:type="dxa"/>
            <w:shd w:val="clear" w:color="auto" w:fill="FFFFFF"/>
            <w:vAlign w:val="center"/>
          </w:tcPr>
          <w:p>
            <w:r>
              <w:t>177550238.08</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2023-01-01 至 2023-12-31</w:t>
            </w:r>
          </w:p>
        </w:tc>
        <w:tc>
          <w:tcPr>
            <w:tcW w:w="2901" w:type="dxa"/>
            <w:shd w:val="clear" w:color="auto" w:fill="D9D9D9"/>
            <w:vAlign w:val="center"/>
          </w:tcPr>
          <w:p>
            <w:r>
              <w:t>2022-05-27至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1389073.17</w:t>
            </w:r>
          </w:p>
        </w:tc>
        <w:tc>
          <w:tcPr>
            <w:tcW w:w="2901" w:type="dxa"/>
            <w:vAlign w:val="center"/>
          </w:tcPr>
          <w:p>
            <w:r>
              <w:t>7257023.95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161793.54</w:t>
            </w:r>
          </w:p>
        </w:tc>
        <w:tc>
          <w:tcPr>
            <w:tcW w:w="2901" w:type="dxa"/>
            <w:vAlign w:val="center"/>
          </w:tcPr>
          <w:p>
            <w:r>
              <w:t>181700.08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22843.74</w:t>
            </w:r>
          </w:p>
        </w:tc>
        <w:tc>
          <w:tcPr>
            <w:tcW w:w="2901" w:type="dxa"/>
            <w:vAlign w:val="center"/>
          </w:tcPr>
          <w:p>
            <w:r>
              <w:t>33468.69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138949.80</w:t>
            </w:r>
          </w:p>
        </w:tc>
        <w:tc>
          <w:tcPr>
            <w:tcW w:w="2901" w:type="dxa"/>
            <w:vAlign w:val="center"/>
          </w:tcPr>
          <w:p>
            <w:r>
              <w:t>148231.39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105167.00</w:t>
            </w:r>
          </w:p>
        </w:tc>
        <w:tc>
          <w:tcPr>
            <w:tcW w:w="2901" w:type="dxa"/>
            <w:vAlign w:val="center"/>
          </w:tcPr>
          <w:p>
            <w:r>
              <w:t>12814254.32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3272991.35</w:t>
            </w:r>
          </w:p>
        </w:tc>
        <w:tc>
          <w:tcPr>
            <w:tcW w:w="2901" w:type="dxa"/>
            <w:vAlign w:val="center"/>
          </w:tcPr>
          <w:p>
            <w:r>
              <w:t>12208048.71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-526132.88</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-2002675.07</w:t>
            </w:r>
          </w:p>
        </w:tc>
        <w:tc>
          <w:tcPr>
            <w:tcW w:w="2901" w:type="dxa"/>
            <w:vAlign w:val="center"/>
          </w:tcPr>
          <w:p>
            <w:r>
              <w:t>350141.20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-3776589.40</w:t>
            </w:r>
          </w:p>
        </w:tc>
        <w:tc>
          <w:tcPr>
            <w:tcW w:w="2901" w:type="dxa"/>
            <w:vAlign w:val="center"/>
          </w:tcPr>
          <w:p>
            <w:r>
              <w:t>-1418076.92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3137573.00</w:t>
            </w:r>
          </w:p>
        </w:tc>
        <w:tc>
          <w:tcPr>
            <w:tcW w:w="2901" w:type="dxa"/>
            <w:vAlign w:val="center"/>
          </w:tcPr>
          <w:p>
            <w:r>
              <w:t>1674141.33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1329621.08</w:t>
            </w:r>
          </w:p>
        </w:tc>
        <w:tc>
          <w:tcPr>
            <w:tcW w:w="2901" w:type="dxa"/>
            <w:vAlign w:val="center"/>
          </w:tcPr>
          <w:p>
            <w:r>
              <w:t>-5410143.67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-207508.45</w:t>
            </w:r>
          </w:p>
        </w:tc>
        <w:tc>
          <w:tcPr>
            <w:tcW w:w="2901" w:type="dxa"/>
            <w:vAlign w:val="center"/>
          </w:tcPr>
          <w:p>
            <w:r>
              <w:t>-328786.78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5209932.90</w:t>
            </w:r>
          </w:p>
        </w:tc>
        <w:tc>
          <w:tcPr>
            <w:tcW w:w="2901" w:type="dxa"/>
            <w:vAlign w:val="center"/>
          </w:tcPr>
          <w:p>
            <w:r>
              <w:t>3045390.55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3268516.69</w:t>
            </w:r>
          </w:p>
        </w:tc>
        <w:tc>
          <w:tcPr>
            <w:tcW w:w="2901" w:type="dxa"/>
            <w:vAlign w:val="center"/>
          </w:tcPr>
          <w:p>
            <w:r>
              <w:t>1176667.25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2754572.91</w:t>
            </w:r>
          </w:p>
        </w:tc>
        <w:tc>
          <w:tcPr>
            <w:tcW w:w="2901" w:type="dxa"/>
            <w:vAlign w:val="center"/>
          </w:tcPr>
          <w:p>
            <w:r>
              <w:t>1176667.25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513943.78</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40944.60</w:t>
            </w:r>
          </w:p>
        </w:tc>
        <w:tc>
          <w:tcPr>
            <w:tcW w:w="2901" w:type="dxa"/>
            <w:vAlign w:val="center"/>
          </w:tcPr>
          <w:p>
            <w:r>
              <w:t>26742.39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40944.60</w:t>
            </w:r>
          </w:p>
        </w:tc>
        <w:tc>
          <w:tcPr>
            <w:tcW w:w="2901" w:type="dxa"/>
            <w:vAlign w:val="center"/>
          </w:tcPr>
          <w:p>
            <w:r>
              <w:t>26742.39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1145354.26</w:t>
            </w:r>
          </w:p>
        </w:tc>
        <w:tc>
          <w:tcPr>
            <w:tcW w:w="2901" w:type="dxa"/>
            <w:vAlign w:val="center"/>
          </w:tcPr>
          <w:p>
            <w:r>
              <w:t>705286.59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714172.75</w:t>
            </w:r>
          </w:p>
        </w:tc>
        <w:tc>
          <w:tcPr>
            <w:tcW w:w="2901" w:type="dxa"/>
            <w:vAlign w:val="center"/>
          </w:tcPr>
          <w:p>
            <w:r>
              <w:t>1109951.93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-3820859.73</w:t>
            </w:r>
          </w:p>
        </w:tc>
        <w:tc>
          <w:tcPr>
            <w:tcW w:w="2901" w:type="dxa"/>
            <w:vAlign w:val="center"/>
          </w:tcPr>
          <w:p>
            <w:r>
              <w:t>4211633.40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-3820859.73</w:t>
            </w:r>
          </w:p>
        </w:tc>
        <w:tc>
          <w:tcPr>
            <w:tcW w:w="2901" w:type="dxa"/>
            <w:vAlign w:val="center"/>
          </w:tcPr>
          <w:p>
            <w:r>
              <w:t>4211633.40</w:t>
            </w: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报告截止日：2023年12月31日；暂估业绩报酬：0元；暂估管理人报酬是按照期末时点暂估计算，与投资者实际承担的管理人报酬可能存在差异。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2023-01-01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171214825.83</w:t>
            </w:r>
          </w:p>
        </w:tc>
        <w:tc>
          <w:tcPr>
            <w:tcW w:w="2216" w:type="dxa"/>
            <w:shd w:val="clear" w:color="auto" w:fill="FFFFFF"/>
            <w:vAlign w:val="center"/>
          </w:tcPr>
          <w:p>
            <w:r>
              <w:t>4212033.41</w:t>
            </w:r>
          </w:p>
        </w:tc>
        <w:tc>
          <w:tcPr>
            <w:tcW w:w="2217" w:type="dxa"/>
            <w:shd w:val="clear" w:color="auto" w:fill="FFFFFF"/>
            <w:vAlign w:val="center"/>
          </w:tcPr>
          <w:p>
            <w:r>
              <w:t>175426859.24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-3820859.73</w:t>
            </w:r>
          </w:p>
        </w:tc>
        <w:tc>
          <w:tcPr>
            <w:tcW w:w="2217" w:type="dxa"/>
            <w:shd w:val="clear" w:color="auto" w:fill="FFFFFF"/>
            <w:vAlign w:val="center"/>
          </w:tcPr>
          <w:p>
            <w:r>
              <w:t>-3820859.73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-47254289.44</w:t>
            </w:r>
          </w:p>
        </w:tc>
        <w:tc>
          <w:tcPr>
            <w:tcW w:w="2216" w:type="dxa"/>
            <w:shd w:val="clear" w:color="auto" w:fill="FFFFFF"/>
            <w:vAlign w:val="center"/>
          </w:tcPr>
          <w:p>
            <w:r>
              <w:t>-1972570.23</w:t>
            </w:r>
          </w:p>
        </w:tc>
        <w:tc>
          <w:tcPr>
            <w:tcW w:w="2217" w:type="dxa"/>
            <w:shd w:val="clear" w:color="auto" w:fill="FFFFFF"/>
            <w:vAlign w:val="center"/>
          </w:tcPr>
          <w:p>
            <w:r>
              <w:t>-49226859.67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-47254289.44</w:t>
            </w:r>
          </w:p>
        </w:tc>
        <w:tc>
          <w:tcPr>
            <w:tcW w:w="2216" w:type="dxa"/>
            <w:shd w:val="clear" w:color="auto" w:fill="FFFFFF"/>
            <w:vAlign w:val="center"/>
          </w:tcPr>
          <w:p>
            <w:r>
              <w:t>-1972570.23</w:t>
            </w:r>
          </w:p>
        </w:tc>
        <w:tc>
          <w:tcPr>
            <w:tcW w:w="2217" w:type="dxa"/>
            <w:shd w:val="clear" w:color="auto" w:fill="FFFFFF"/>
            <w:vAlign w:val="center"/>
          </w:tcPr>
          <w:p>
            <w:r>
              <w:t>-49226859.67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123960536.39</w:t>
            </w:r>
          </w:p>
        </w:tc>
        <w:tc>
          <w:tcPr>
            <w:tcW w:w="2216" w:type="dxa"/>
            <w:tcBorders>
              <w:bottom w:val="single" w:color="auto" w:sz="4" w:space="0"/>
            </w:tcBorders>
            <w:shd w:val="clear" w:color="auto" w:fill="FFFFFF"/>
            <w:vAlign w:val="center"/>
          </w:tcPr>
          <w:p>
            <w:r>
              <w:t>-1581396.55</w:t>
            </w:r>
          </w:p>
        </w:tc>
        <w:tc>
          <w:tcPr>
            <w:tcW w:w="2217" w:type="dxa"/>
            <w:tcBorders>
              <w:bottom w:val="single" w:color="auto" w:sz="4" w:space="0"/>
            </w:tcBorders>
            <w:shd w:val="clear" w:color="auto" w:fill="FFFFFF"/>
            <w:vAlign w:val="center"/>
          </w:tcPr>
          <w:p>
            <w:r>
              <w:t>122379139.84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2022-05-27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173214865.10</w:t>
            </w:r>
          </w:p>
        </w:tc>
        <w:tc>
          <w:tcPr>
            <w:tcW w:w="2216" w:type="dxa"/>
            <w:shd w:val="clear" w:color="auto" w:fill="FFFFFF"/>
            <w:vAlign w:val="center"/>
          </w:tcPr>
          <w:p>
            <w:r>
              <w:t>0.00</w:t>
            </w:r>
          </w:p>
        </w:tc>
        <w:tc>
          <w:tcPr>
            <w:tcW w:w="2217" w:type="dxa"/>
            <w:shd w:val="clear" w:color="auto" w:fill="FFFFFF"/>
            <w:vAlign w:val="center"/>
          </w:tcPr>
          <w:p>
            <w:r>
              <w:t>173214865.10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4211633.40</w:t>
            </w:r>
          </w:p>
        </w:tc>
        <w:tc>
          <w:tcPr>
            <w:tcW w:w="2217" w:type="dxa"/>
            <w:shd w:val="clear" w:color="auto" w:fill="FFFFFF"/>
            <w:vAlign w:val="center"/>
          </w:tcPr>
          <w:p>
            <w:r>
              <w:t>4211633.40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-2000039.27</w:t>
            </w:r>
          </w:p>
        </w:tc>
        <w:tc>
          <w:tcPr>
            <w:tcW w:w="2216" w:type="dxa"/>
            <w:shd w:val="clear" w:color="auto" w:fill="FFFFFF"/>
            <w:vAlign w:val="center"/>
          </w:tcPr>
          <w:p>
            <w:r>
              <w:t>400.01</w:t>
            </w:r>
          </w:p>
        </w:tc>
        <w:tc>
          <w:tcPr>
            <w:tcW w:w="2217" w:type="dxa"/>
            <w:shd w:val="clear" w:color="auto" w:fill="FFFFFF"/>
            <w:vAlign w:val="center"/>
          </w:tcPr>
          <w:p>
            <w:r>
              <w:t>-1999639.26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-2000039.27</w:t>
            </w:r>
          </w:p>
        </w:tc>
        <w:tc>
          <w:tcPr>
            <w:tcW w:w="2216" w:type="dxa"/>
            <w:shd w:val="clear" w:color="auto" w:fill="FFFFFF"/>
            <w:vAlign w:val="center"/>
          </w:tcPr>
          <w:p>
            <w:r>
              <w:t>400.01</w:t>
            </w:r>
          </w:p>
        </w:tc>
        <w:tc>
          <w:tcPr>
            <w:tcW w:w="2217" w:type="dxa"/>
            <w:shd w:val="clear" w:color="auto" w:fill="FFFFFF"/>
            <w:vAlign w:val="center"/>
          </w:tcPr>
          <w:p>
            <w:r>
              <w:t>-1999639.26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171214825.83</w:t>
            </w:r>
          </w:p>
        </w:tc>
        <w:tc>
          <w:tcPr>
            <w:tcW w:w="2216" w:type="dxa"/>
            <w:shd w:val="clear" w:color="auto" w:fill="FFFFFF"/>
            <w:vAlign w:val="center"/>
          </w:tcPr>
          <w:p>
            <w:r>
              <w:t>4212033.41</w:t>
            </w:r>
          </w:p>
        </w:tc>
        <w:tc>
          <w:tcPr>
            <w:tcW w:w="2217" w:type="dxa"/>
            <w:shd w:val="clear" w:color="auto" w:fill="FFFFFF"/>
            <w:vAlign w:val="center"/>
          </w:tcPr>
          <w:p>
            <w:r>
              <w:t>175426859.24</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1489039.08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1646857.70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r>
              <w:t>97943356.30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r>
              <w:t>14143340.56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r>
              <w:t>14143340.56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r>
              <w:t>8999221.96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47139089.25</w:t>
            </w:r>
          </w:p>
        </w:tc>
        <w:tc>
          <w:tcPr>
            <w:tcW w:w="2431" w:type="dxa"/>
            <w:shd w:val="clear" w:color="auto" w:fill="FFFFFF"/>
            <w:vAlign w:val="center"/>
          </w:tcPr>
          <w:p>
            <w: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632548.00</w:t>
            </w:r>
          </w:p>
        </w:tc>
        <w:tc>
          <w:tcPr>
            <w:tcW w:w="2431" w:type="dxa"/>
            <w:shd w:val="clear" w:color="auto" w:fill="FFFFFF"/>
            <w:vAlign w:val="center"/>
          </w:tcPr>
          <w:p>
            <w: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840510.00</w:t>
            </w:r>
          </w:p>
        </w:tc>
        <w:tc>
          <w:tcPr>
            <w:tcW w:w="2431" w:type="dxa"/>
            <w:shd w:val="clear" w:color="auto" w:fill="FFFFFF"/>
            <w:vAlign w:val="center"/>
          </w:tcPr>
          <w:p>
            <w: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244052.00</w:t>
            </w:r>
          </w:p>
        </w:tc>
        <w:tc>
          <w:tcPr>
            <w:tcW w:w="2431" w:type="dxa"/>
            <w:shd w:val="clear" w:color="auto" w:fill="FFFFFF"/>
            <w:vAlign w:val="center"/>
          </w:tcPr>
          <w:p>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48856199.25</w:t>
            </w:r>
          </w:p>
        </w:tc>
        <w:tc>
          <w:tcPr>
            <w:tcW w:w="2431" w:type="dxa"/>
            <w:shd w:val="clear" w:color="auto" w:fill="FFFFFF"/>
            <w:vAlign w:val="center"/>
          </w:tcPr>
          <w:p>
            <w:r>
              <w:t>39.93</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49087157.05</w:t>
            </w:r>
          </w:p>
        </w:tc>
        <w:tc>
          <w:tcPr>
            <w:tcW w:w="3187" w:type="dxa"/>
            <w:shd w:val="clear" w:color="auto" w:fill="FFFFFF"/>
            <w:vAlign w:val="center"/>
          </w:tcPr>
          <w:p>
            <w:r>
              <w:t>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49087157.05</w:t>
            </w:r>
          </w:p>
        </w:tc>
        <w:tc>
          <w:tcPr>
            <w:tcW w:w="3187" w:type="dxa"/>
            <w:shd w:val="clear" w:color="auto" w:fill="FFFFFF"/>
            <w:vAlign w:val="center"/>
          </w:tcPr>
          <w:p>
            <w:r>
              <w:t>40.11</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5" w:type="first"/>
      <w:footerReference r:id="rId8" w:type="first"/>
      <w:headerReference r:id="rId4" w:type="default"/>
      <w:footerReference r:id="rId6" w:type="default"/>
      <w:footerReference r:id="rId7"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兴证期货-兴享价值深耕8号集合资产管理计划2023年年度报告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9473326"/>
    <w:rsid w:val="10C026EC"/>
    <w:rsid w:val="142318F4"/>
    <w:rsid w:val="1BED7C28"/>
    <w:rsid w:val="1F6B7D7F"/>
    <w:rsid w:val="25FF7B35"/>
    <w:rsid w:val="27AB5FBF"/>
    <w:rsid w:val="28026780"/>
    <w:rsid w:val="28DA41F9"/>
    <w:rsid w:val="304C19B4"/>
    <w:rsid w:val="498A5B11"/>
    <w:rsid w:val="4BC333F6"/>
    <w:rsid w:val="4DD71818"/>
    <w:rsid w:val="51A80954"/>
    <w:rsid w:val="536C539F"/>
    <w:rsid w:val="5AF79D2E"/>
    <w:rsid w:val="5FDE7773"/>
    <w:rsid w:val="628F3924"/>
    <w:rsid w:val="66A27F4E"/>
    <w:rsid w:val="66E15097"/>
    <w:rsid w:val="6C4A58F3"/>
    <w:rsid w:val="6C900A85"/>
    <w:rsid w:val="74776257"/>
    <w:rsid w:val="78166CE4"/>
    <w:rsid w:val="7B7AC0D1"/>
    <w:rsid w:val="7E1D5300"/>
    <w:rsid w:val="7E5ABB75"/>
    <w:rsid w:val="7FE77EAC"/>
    <w:rsid w:val="F379A88C"/>
    <w:rsid w:val="FBF678F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2</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2019-01-23T20:00:00Z</dcterms:created>
  <dc:creator>yss</dc:creator>
  <cp:lastModifiedBy>孙雯</cp:lastModifiedBy>
  <dcterms:modified xsi:type="dcterms:W3CDTF">2024-03-25T03:21:55Z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