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rPr>
          <w:b/>
          <w:bCs/>
          <w:sz w:val="40"/>
          <w:szCs w:val="40"/>
        </w:rPr>
      </w:pPr>
      <w:r>
        <w:rPr>
          <w:b/>
          <w:bCs/>
          <w:sz w:val="40"/>
          <w:szCs w:val="40"/>
        </w:rPr>
        <w:t xml:space="preserve">兴证期货-精选30D期FOF集合资产管理计划 </w:t>
      </w:r>
    </w:p>
    <w:p>
      <w:pPr>
        <w:pStyle w:val="52"/>
      </w:pPr>
      <w:r>
        <w:rPr>
          <w:b/>
          <w:bCs/>
          <w:sz w:val="40"/>
          <w:szCs w:val="40"/>
        </w:rPr>
        <w:t>2023</w:t>
      </w:r>
      <w:r>
        <w:rPr>
          <w:rFonts w:hint="eastAsia"/>
          <w:b/>
          <w:bCs/>
          <w:sz w:val="40"/>
          <w:szCs w:val="40"/>
        </w:rPr>
        <w:t>年年度报告</w:t>
      </w:r>
    </w:p>
    <w:p>
      <w:pPr>
        <w:pStyle w:val="52"/>
      </w:pPr>
    </w:p>
    <w:p>
      <w:pPr>
        <w:pStyle w:val="52"/>
      </w:pPr>
    </w:p>
    <w:p>
      <w:pPr>
        <w:pStyle w:val="52"/>
      </w:pPr>
      <w:r>
        <w:rPr>
          <w:rFonts w:hint="eastAsia"/>
        </w:rPr>
        <w:t> </w:t>
      </w:r>
    </w:p>
    <w:p>
      <w:pPr>
        <w:pStyle w:val="52"/>
      </w:pPr>
    </w:p>
    <w:p>
      <w:pPr>
        <w:pStyle w:val="52"/>
      </w:pPr>
    </w:p>
    <w:p>
      <w:pPr>
        <w:pStyle w:val="52"/>
      </w:pPr>
    </w:p>
    <w:p>
      <w:pPr>
        <w:pStyle w:val="52"/>
      </w:pPr>
    </w:p>
    <w:p>
      <w:pPr>
        <w:pStyle w:val="52"/>
      </w:pPr>
    </w:p>
    <w:p>
      <w:pPr>
        <w:pStyle w:val="52"/>
      </w:pPr>
    </w:p>
    <w:p>
      <w:pPr>
        <w:pStyle w:val="52"/>
      </w:pPr>
    </w:p>
    <w:p>
      <w:pPr>
        <w:spacing w:line="360" w:lineRule="auto"/>
        <w:ind w:firstLine="2650" w:firstLineChars="1100"/>
        <w:jc w:val="both"/>
        <w:rPr>
          <w:b/>
          <w:sz w:val="24"/>
        </w:rPr>
      </w:pPr>
      <w:r>
        <w:rPr>
          <w:b/>
          <w:sz w:val="24"/>
        </w:rPr>
        <w:t>资产管理人：兴证期货有限公司</w:t>
      </w:r>
    </w:p>
    <w:p>
      <w:pPr>
        <w:spacing w:line="360" w:lineRule="auto"/>
        <w:ind w:firstLine="2650" w:firstLineChars="1100"/>
        <w:jc w:val="both"/>
        <w:rPr>
          <w:b/>
          <w:sz w:val="24"/>
        </w:rPr>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pStyle w:val="52"/>
      </w:pPr>
    </w:p>
    <w:p>
      <w:pPr>
        <w:pStyle w:val="52"/>
      </w:pPr>
    </w:p>
    <w:p>
      <w:pPr>
        <w:jc w:val="both"/>
        <w:rPr>
          <w:b/>
          <w:sz w:val="28"/>
          <w:szCs w:val="28"/>
        </w:rPr>
      </w:pP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兴证期货-精选30D期FOF集合资产管理计划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STB945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11652.06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2037-02-13</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以定量和定性相结合的方式选择和组合子基金，通过多策略分散投资，在严格控制风险的情况下，实现FOF的稳健增值。本计划以投资指数增强、可转债、股票多头等私募为主。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属预期风险等级【R5】级的投资品种，适合具有【C5】级别风险识别、评估、承受能力的合格投资者。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pPr>
              <w:rPr>
                <w:rFonts w:hint="eastAsia" w:eastAsia="宋体"/>
                <w:lang w:eastAsia="zh-CN"/>
              </w:rPr>
            </w:pPr>
            <w:r>
              <w:rPr>
                <w:rFonts w:hint="eastAsia"/>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资产管理人向资产委托人提供的报告，将严格按照有关规定通过以下至少一种方式进行。资产委托人信息查询将通过以下至少一种中国证监会允许的、本合同约定的方式进行。</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1、网站</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定期报告、临时报告等有关本资产管理计划的信息将在资产管理人指定网站（http://simu.yixinfund.com）上披露，资产委托人可随时查阅。</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2、传真、电子邮件或手机短信等</w:t>
            </w:r>
          </w:p>
          <w:p>
            <w:pPr>
              <w:widowControl/>
              <w:spacing w:line="348" w:lineRule="auto"/>
              <w:ind w:firstLine="420" w:firstLineChars="200"/>
              <w:contextualSpacing/>
              <w:jc w:val="left"/>
              <w:textAlignment w:val="auto"/>
            </w:pPr>
            <w:r>
              <w:rPr>
                <w:rFonts w:hint="default" w:ascii="Times New Roman" w:hAnsi="Times New Roman" w:cs="Times New Roman"/>
                <w:color w:val="auto"/>
                <w:kern w:val="2"/>
                <w:sz w:val="21"/>
                <w:szCs w:val="21"/>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-4134990.71</w:t>
            </w:r>
          </w:p>
        </w:tc>
        <w:tc>
          <w:tcPr>
            <w:tcW w:w="2216" w:type="dxa"/>
            <w:vAlign w:val="center"/>
          </w:tcPr>
          <w:p>
            <w:r>
              <w:t>-1144724.53</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-3303346.22</w:t>
            </w:r>
          </w:p>
        </w:tc>
        <w:tc>
          <w:tcPr>
            <w:tcW w:w="2216" w:type="dxa"/>
            <w:tcBorders>
              <w:bottom w:val="single" w:color="auto" w:sz="4" w:space="0"/>
            </w:tcBorders>
            <w:vAlign w:val="center"/>
          </w:tcPr>
          <w:p>
            <w:r>
              <w:t>-4055162.13</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-7292415.34</w:t>
            </w:r>
          </w:p>
        </w:tc>
        <w:tc>
          <w:tcPr>
            <w:tcW w:w="2216" w:type="dxa"/>
            <w:vAlign w:val="center"/>
          </w:tcPr>
          <w:p>
            <w:r>
              <w:t>-4941190.04</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-0.0626</w:t>
            </w:r>
          </w:p>
        </w:tc>
        <w:tc>
          <w:tcPr>
            <w:tcW w:w="2216" w:type="dxa"/>
            <w:vAlign w:val="center"/>
          </w:tcPr>
          <w:p>
            <w:r>
              <w:t>-0.0265</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109228214.14</w:t>
            </w:r>
          </w:p>
        </w:tc>
        <w:tc>
          <w:tcPr>
            <w:tcW w:w="2216" w:type="dxa"/>
            <w:vAlign w:val="center"/>
          </w:tcPr>
          <w:p>
            <w:r>
              <w:t>181277247.00</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0.9374</w:t>
            </w:r>
          </w:p>
        </w:tc>
        <w:tc>
          <w:tcPr>
            <w:tcW w:w="2216" w:type="dxa"/>
            <w:tcBorders>
              <w:bottom w:val="single" w:color="auto" w:sz="4" w:space="0"/>
            </w:tcBorders>
            <w:vAlign w:val="center"/>
          </w:tcPr>
          <w:p>
            <w:r>
              <w:t>0.9735</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-6.26</w:t>
            </w:r>
          </w:p>
        </w:tc>
        <w:tc>
          <w:tcPr>
            <w:tcW w:w="2216" w:type="dxa"/>
            <w:vAlign w:val="center"/>
          </w:tcPr>
          <w:p>
            <w:r>
              <w:t>-2.65</w:t>
            </w: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-3.71</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-6.26</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w:t>
            </w:r>
          </w:p>
        </w:tc>
        <w:tc>
          <w:tcPr>
            <w:tcW w:w="1607" w:type="dxa"/>
            <w:shd w:val="clear" w:color="auto" w:fill="FFFFFF"/>
            <w:vAlign w:val="center"/>
          </w:tcPr>
          <w:p>
            <w:r>
              <w:t>0</w:t>
            </w:r>
          </w:p>
        </w:tc>
        <w:tc>
          <w:tcPr>
            <w:tcW w:w="1559" w:type="dxa"/>
            <w:shd w:val="clear" w:color="auto" w:fill="FFFFFF"/>
            <w:vAlign w:val="center"/>
          </w:tcPr>
          <w:p>
            <w:r>
              <w:t>0</w:t>
            </w:r>
          </w:p>
        </w:tc>
        <w:tc>
          <w:tcPr>
            <w:tcW w:w="1559" w:type="dxa"/>
            <w:shd w:val="clear" w:color="auto" w:fill="FFFFFF"/>
            <w:vAlign w:val="center"/>
          </w:tcPr>
          <w:p>
            <w:r>
              <w:t>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18621.843704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6969.780756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11652.062948</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jc w:val="left"/>
              <w:rPr>
                <w:rFonts w:hint="eastAsia" w:ascii="Times New Roman" w:hAnsi="Times New Roman"/>
              </w:rPr>
            </w:pPr>
            <w:r>
              <w:rPr>
                <w:rFonts w:hint="eastAsia"/>
                <w:lang w:val="en-US" w:eastAsia="zh-CN"/>
              </w:rPr>
              <w:t>4</w:t>
            </w:r>
            <w:r>
              <w:rPr>
                <w:rFonts w:hint="eastAsia" w:ascii="Times New Roman" w:hAnsi="Times New Roman"/>
              </w:rPr>
              <w:t>.1 报告期内基金投资决策依据和业绩表现</w:t>
            </w:r>
          </w:p>
          <w:p>
            <w:pPr>
              <w:ind w:firstLine="420" w:firstLineChars="200"/>
              <w:jc w:val="left"/>
              <w:rPr>
                <w:rFonts w:hint="eastAsia" w:ascii="Times New Roman" w:hAnsi="Times New Roman"/>
              </w:rPr>
            </w:pPr>
            <w:r>
              <w:rPr>
                <w:rFonts w:hint="eastAsia" w:ascii="Times New Roman" w:hAnsi="Times New Roman"/>
              </w:rPr>
              <w:t>本计划投资决策依据：以定量和定性相结合的方式选择和组合子基金，通过多策略分散投资，在严格控制风险的情况下，实现FOF的稳健增值。本计划以投资指数增强、可转债、股票多头等私募为主。截止2023年</w:t>
            </w:r>
            <w:r>
              <w:rPr>
                <w:rFonts w:hint="eastAsia" w:ascii="Times New Roman" w:hAnsi="Times New Roman"/>
                <w:lang w:val="en-US" w:eastAsia="zh-CN"/>
              </w:rPr>
              <w:t>12</w:t>
            </w:r>
            <w:r>
              <w:rPr>
                <w:rFonts w:hint="eastAsia" w:ascii="Times New Roman" w:hAnsi="Times New Roman"/>
              </w:rPr>
              <w:t>月3</w:t>
            </w:r>
            <w:r>
              <w:rPr>
                <w:rFonts w:hint="eastAsia" w:ascii="Times New Roman" w:hAnsi="Times New Roman"/>
                <w:lang w:val="en-US" w:eastAsia="zh-CN"/>
              </w:rPr>
              <w:t>1</w:t>
            </w:r>
            <w:r>
              <w:rPr>
                <w:rFonts w:hint="eastAsia" w:ascii="Times New Roman" w:hAnsi="Times New Roman"/>
              </w:rPr>
              <w:t>日本基金期末基金单位净值为</w:t>
            </w:r>
            <w:r>
              <w:rPr>
                <w:rFonts w:hint="eastAsia" w:ascii="Times New Roman" w:hAnsi="Times New Roman"/>
                <w:lang w:val="en-US" w:eastAsia="zh-CN"/>
              </w:rPr>
              <w:t>0.9374</w:t>
            </w:r>
            <w:r>
              <w:rPr>
                <w:rFonts w:hint="eastAsia" w:ascii="Times New Roman" w:hAnsi="Times New Roman"/>
              </w:rPr>
              <w:t>元，期末基金累计单位净值</w:t>
            </w:r>
            <w:r>
              <w:rPr>
                <w:rFonts w:hint="eastAsia" w:ascii="Times New Roman" w:hAnsi="Times New Roman"/>
                <w:lang w:val="en-US" w:eastAsia="zh-CN"/>
              </w:rPr>
              <w:t>0.9374</w:t>
            </w:r>
            <w:r>
              <w:rPr>
                <w:rFonts w:hint="eastAsia" w:ascii="Times New Roman" w:hAnsi="Times New Roman"/>
              </w:rPr>
              <w:t>元。</w:t>
            </w:r>
            <w:r>
              <w:rPr>
                <w:rFonts w:hint="eastAsia" w:ascii="Times New Roman" w:hAnsi="Times New Roman"/>
              </w:rPr>
              <w:br w:type="textWrapping"/>
            </w:r>
            <w:r>
              <w:rPr>
                <w:rFonts w:hint="eastAsia"/>
                <w:lang w:val="en-US" w:eastAsia="zh-CN"/>
              </w:rPr>
              <w:t>4</w:t>
            </w:r>
            <w:r>
              <w:rPr>
                <w:rFonts w:hint="eastAsia" w:ascii="Times New Roman" w:hAnsi="Times New Roman"/>
              </w:rPr>
              <w:t>.2 投资经理</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本计划投资经理廉正，期货从业资格编码：F3054039，本计划本报告期内未发生变更。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jc w:val="left"/>
              <w:rPr>
                <w:rFonts w:hint="eastAsia" w:ascii="Times New Roman" w:hAnsi="Times New Roman"/>
              </w:rPr>
            </w:pPr>
            <w:r>
              <w:rPr>
                <w:rFonts w:hint="eastAsia" w:ascii="Times New Roman" w:hAnsi="Times New Roman"/>
              </w:rPr>
              <w:t>本计划投资经理于淼，期货从业资格编码：F03116823，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w:t>
            </w:r>
            <w:r>
              <w:rPr>
                <w:rFonts w:hint="eastAsia"/>
              </w:rPr>
              <w:t>长期从事衍生品研究，量化交易策略开发工作。</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本计划投资经理符合法律法规规定的以下条件：（1）已取得从业资格；（2）具有3年以上投资管理、投资研究、投资咨询等相关业务经验；（3）具有良好的诚信记录及职业操守，且最近3年未被监管机构采取重大行政监管措施、行政处罚。</w:t>
            </w:r>
            <w:r>
              <w:rPr>
                <w:rFonts w:hint="eastAsia" w:ascii="Times New Roman" w:hAnsi="Times New Roman"/>
              </w:rPr>
              <w:br w:type="textWrapping"/>
            </w:r>
            <w:r>
              <w:rPr>
                <w:rFonts w:hint="eastAsia"/>
                <w:lang w:val="en-US" w:eastAsia="zh-CN"/>
              </w:rPr>
              <w:t>4</w:t>
            </w:r>
            <w:r>
              <w:rPr>
                <w:rFonts w:hint="eastAsia" w:ascii="Times New Roman" w:hAnsi="Times New Roman"/>
              </w:rPr>
              <w:t>.3 报告期内基金估值程序</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r>
              <w:rPr>
                <w:rFonts w:hint="eastAsia" w:ascii="Times New Roman" w:hAnsi="Times New Roman"/>
              </w:rPr>
              <w:br w:type="textWrapping"/>
            </w:r>
            <w:r>
              <w:rPr>
                <w:rFonts w:hint="eastAsia"/>
                <w:lang w:val="en-US" w:eastAsia="zh-CN"/>
              </w:rPr>
              <w:t>4</w:t>
            </w:r>
            <w:r>
              <w:rPr>
                <w:rFonts w:hint="eastAsia" w:ascii="Times New Roman" w:hAnsi="Times New Roman"/>
              </w:rPr>
              <w:t>.4 报告期内管理人履职情况</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公司在资产管理业务经营过程中，将严格遵守以下管理人的职责：</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（1）依法办理资产管理计划的销售、登记、备案事宜；</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（2）对所管理的不同资产管理计划的受托财产分别管理、分别记账，进行投资；</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（3）按照资产管理合同的约定确定收益分配方案，及时向投资者分配收益；</w:t>
            </w:r>
          </w:p>
          <w:p>
            <w:pPr>
              <w:numPr>
                <w:ilvl w:val="0"/>
                <w:numId w:val="2"/>
              </w:numPr>
              <w:ind w:firstLine="420" w:firstLineChars="200"/>
              <w:jc w:val="left"/>
              <w:rPr>
                <w:rFonts w:hint="eastAsia" w:ascii="Times New Roman" w:hAnsi="Times New Roman"/>
              </w:rPr>
            </w:pPr>
            <w:r>
              <w:rPr>
                <w:rFonts w:hint="eastAsia" w:ascii="Times New Roman" w:hAnsi="Times New Roman"/>
              </w:rPr>
              <w:t>进行资产管理计划会计核算并编制资产管理计划财务会计报告；</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5</w:t>
            </w:r>
            <w:r>
              <w:rPr>
                <w:rFonts w:hint="eastAsia" w:ascii="Times New Roman" w:hAnsi="Times New Roman"/>
              </w:rPr>
              <w:t>）依法计算并披露资产管理计划净值，确定参与、退出价格；</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6</w:t>
            </w:r>
            <w:r>
              <w:rPr>
                <w:rFonts w:hint="eastAsia" w:ascii="Times New Roman" w:hAnsi="Times New Roman"/>
              </w:rPr>
              <w:t>）办理与受托财产管理业务活动有关的信息披露事项；</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7</w:t>
            </w:r>
            <w:r>
              <w:rPr>
                <w:rFonts w:hint="eastAsia" w:ascii="Times New Roman" w:hAnsi="Times New Roman"/>
              </w:rPr>
              <w:t>）保存受托财产管理业务活动的记录、账册、报表和其他相关资料；</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）以管理人名义，代表投资者利益行使诉讼权利或者实施其他法律行为；</w:t>
            </w:r>
          </w:p>
          <w:p>
            <w:pPr>
              <w:widowControl/>
              <w:jc w:val="left"/>
              <w:textAlignment w:val="center"/>
              <w:rPr>
                <w:rFonts w:hint="eastAsia" w:ascii="Times New Roman" w:hAnsi="Times New Roman"/>
                <w:lang w:val="en-US" w:eastAsia="zh-CN"/>
              </w:rPr>
            </w:pPr>
            <w:r>
              <w:rPr>
                <w:rFonts w:hint="eastAsia" w:ascii="Times New Roman" w:hAnsi="Times New Roman"/>
              </w:rPr>
              <w:t>（9）保证向投资者支付的受托资金及收益返回其参与资产管理计划时使用的结算账户或其同名账户；</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10</w:t>
            </w:r>
            <w:r>
              <w:rPr>
                <w:rFonts w:hint="eastAsia" w:ascii="Times New Roman" w:hAnsi="Times New Roman"/>
              </w:rPr>
              <w:t>）法律、行政法规和中国证监会规定的其他职责。</w:t>
            </w:r>
            <w:r>
              <w:rPr>
                <w:rFonts w:hint="eastAsia" w:ascii="Times New Roman" w:hAnsi="Times New Roman"/>
              </w:rPr>
              <w:br w:type="textWrapping"/>
            </w:r>
            <w:r>
              <w:rPr>
                <w:rFonts w:hint="eastAsia"/>
                <w:lang w:val="en-US" w:eastAsia="zh-CN"/>
              </w:rPr>
              <w:t>4</w:t>
            </w:r>
            <w:r>
              <w:rPr>
                <w:rFonts w:hint="eastAsia" w:ascii="Times New Roman" w:hAnsi="Times New Roman"/>
              </w:rPr>
              <w:t>.5 文件存放地点</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兴证期货有限公司</w:t>
            </w:r>
            <w:r>
              <w:rPr>
                <w:rFonts w:hint="eastAsia" w:ascii="Times New Roman" w:hAnsi="Times New Roman"/>
              </w:rPr>
              <w:br w:type="textWrapping"/>
            </w:r>
            <w:r>
              <w:rPr>
                <w:rFonts w:hint="eastAsia" w:ascii="Times New Roman" w:hAnsi="Times New Roman"/>
                <w:lang w:val="en-US" w:eastAsia="zh-CN"/>
              </w:rPr>
              <w:t xml:space="preserve">    地址：上海市浦东新区长柳路36号兴业证券大厦8楼</w:t>
            </w:r>
          </w:p>
          <w:p>
            <w:pPr>
              <w:widowControl/>
              <w:jc w:val="left"/>
              <w:textAlignment w:val="center"/>
              <w:rPr>
                <w:rFonts w:hint="eastAsia" w:ascii="Times New Roman" w:hAnsi="Times New Roman"/>
                <w:lang w:val="en-US" w:eastAsia="zh-CN"/>
              </w:rPr>
            </w:pPr>
            <w:r>
              <w:rPr>
                <w:rFonts w:hint="eastAsia" w:ascii="Times New Roman" w:hAnsi="Times New Roman"/>
                <w:lang w:val="en-US" w:eastAsia="zh-CN"/>
              </w:rPr>
              <w:t xml:space="preserve">    联 系 人：孙雯</w:t>
            </w:r>
          </w:p>
          <w:p>
            <w:pPr>
              <w:widowControl/>
              <w:jc w:val="left"/>
              <w:textAlignment w:val="center"/>
              <w:rPr>
                <w:rFonts w:hint="eastAsia" w:ascii="Times New Roman" w:hAnsi="Times New Roman"/>
                <w:lang w:val="en-US" w:eastAsia="zh-CN"/>
              </w:rPr>
            </w:pPr>
            <w:r>
              <w:rPr>
                <w:rFonts w:hint="eastAsia" w:ascii="Times New Roman" w:hAnsi="Times New Roman"/>
                <w:lang w:val="en-US" w:eastAsia="zh-CN"/>
              </w:rPr>
              <w:t xml:space="preserve">    服务电话：021-20370952</w:t>
            </w:r>
          </w:p>
          <w:p>
            <w:pPr>
              <w:widowControl/>
              <w:numPr>
                <w:ilvl w:val="0"/>
                <w:numId w:val="3"/>
              </w:numPr>
              <w:ind w:left="420"/>
              <w:jc w:val="left"/>
              <w:textAlignment w:val="center"/>
              <w:rPr>
                <w:rFonts w:hint="eastAsia" w:ascii="Times New Roman" w:hAnsi="Times New Roman"/>
                <w:lang w:val="en-US" w:eastAsia="zh-CN"/>
              </w:rPr>
            </w:pPr>
            <w:r>
              <w:rPr>
                <w:rFonts w:hint="eastAsia" w:ascii="Times New Roman" w:hAnsi="Times New Roman"/>
                <w:lang w:val="en-US" w:eastAsia="zh-CN"/>
              </w:rPr>
              <w:t xml:space="preserve">MAIL ：sunwen@xzfutures.com     </w:t>
            </w:r>
          </w:p>
          <w:p>
            <w:pPr>
              <w:widowControl/>
              <w:numPr>
                <w:ilvl w:val="-1"/>
                <w:numId w:val="0"/>
              </w:numPr>
              <w:ind w:left="420"/>
              <w:jc w:val="left"/>
              <w:textAlignment w:val="center"/>
            </w:pPr>
            <w:r>
              <w:rPr>
                <w:rFonts w:hint="eastAsia" w:ascii="Times New Roman" w:hAnsi="Times New Roman"/>
              </w:rPr>
              <w:t>投资者对本报告书如有任何疑问，可以咨询管理人兴证期货有限公司。</w:t>
            </w:r>
            <w:r>
              <w:rPr>
                <w:rFonts w:hint="eastAsia" w:ascii="Times New Roman" w:hAnsi="Times New Roman"/>
              </w:rPr>
              <w:br w:type="textWrapping"/>
            </w:r>
            <w:r>
              <w:rPr>
                <w:rFonts w:hint="eastAsia"/>
                <w:lang w:val="en-US" w:eastAsia="zh-CN"/>
              </w:rPr>
              <w:t>4</w:t>
            </w:r>
            <w:r>
              <w:rPr>
                <w:rFonts w:hint="eastAsia" w:ascii="Times New Roman" w:hAnsi="Times New Roman"/>
              </w:rPr>
              <w:t>.6 报告期内其他说明情况</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本计划本报告期内</w:t>
            </w:r>
            <w:r>
              <w:rPr>
                <w:rFonts w:hint="eastAsia" w:ascii="宋体" w:hAnsi="宋体" w:cs="宋体"/>
                <w:color w:val="000000"/>
                <w:kern w:val="0"/>
                <w:sz w:val="21"/>
                <w:szCs w:val="21"/>
              </w:rPr>
              <w:t>增加投资经理于淼</w:t>
            </w:r>
            <w:r>
              <w:rPr>
                <w:rFonts w:hint="eastAsia" w:ascii="宋体" w:hAnsi="宋体" w:cs="宋体"/>
                <w:color w:val="000000"/>
                <w:kern w:val="0"/>
                <w:sz w:val="21"/>
                <w:szCs w:val="21"/>
                <w:lang w:eastAsia="zh-CN"/>
              </w:rPr>
              <w:t>，</w:t>
            </w:r>
            <w:r>
              <w:rPr>
                <w:rFonts w:hint="eastAsia" w:ascii="Times New Roman" w:hAnsi="Times New Roman"/>
              </w:rPr>
              <w:t>未进行利润分配、未发生关联交易、未发生损害投资者利益的事件及其他不符合法律法规的事项。公司将继续遵守相关法律法规要求，严格履行管理人职责。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本计划托管人依法对年度报告中托管履职期间的财务指标、净值表现、投资组合情况、利润分配情况（如有）、财务会计报告（如有）等财务信息进行了核查，以上内容真实、准确和完整。</w:t>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9227593.88</w:t>
            </w:r>
          </w:p>
        </w:tc>
        <w:tc>
          <w:tcPr>
            <w:tcW w:w="2955" w:type="dxa"/>
            <w:shd w:val="clear" w:color="auto" w:fill="FFFFFF"/>
            <w:vAlign w:val="center"/>
          </w:tcPr>
          <w:p>
            <w:r>
              <w:t>9092359.70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248196.70</w:t>
            </w:r>
          </w:p>
        </w:tc>
        <w:tc>
          <w:tcPr>
            <w:tcW w:w="2955" w:type="dxa"/>
            <w:shd w:val="clear" w:color="auto" w:fill="FFFFFF"/>
            <w:vAlign w:val="center"/>
          </w:tcPr>
          <w:p>
            <w:r>
              <w:t>1838372.66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4108590.59</w:t>
            </w:r>
          </w:p>
        </w:tc>
        <w:tc>
          <w:tcPr>
            <w:tcW w:w="2955" w:type="dxa"/>
            <w:shd w:val="clear" w:color="auto" w:fill="FFFFFF"/>
            <w:vAlign w:val="center"/>
          </w:tcPr>
          <w:p>
            <w:r>
              <w:t>11232276.77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4108590.59</w:t>
            </w:r>
          </w:p>
        </w:tc>
        <w:tc>
          <w:tcPr>
            <w:tcW w:w="2955" w:type="dxa"/>
            <w:shd w:val="clear" w:color="auto" w:fill="FFFFFF"/>
            <w:vAlign w:val="center"/>
          </w:tcPr>
          <w:p>
            <w:r>
              <w:t>11232276.77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2500000.00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93479014.88</w:t>
            </w:r>
          </w:p>
        </w:tc>
        <w:tc>
          <w:tcPr>
            <w:tcW w:w="2955" w:type="dxa"/>
            <w:shd w:val="clear" w:color="auto" w:fill="FFFFFF"/>
            <w:vAlign w:val="center"/>
          </w:tcPr>
          <w:p>
            <w:r>
              <w:t>159641440.25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109563396.05</w:t>
            </w:r>
          </w:p>
        </w:tc>
        <w:tc>
          <w:tcPr>
            <w:tcW w:w="2955" w:type="dxa"/>
            <w:tcBorders>
              <w:bottom w:val="single" w:color="auto" w:sz="4" w:space="0"/>
            </w:tcBorders>
            <w:shd w:val="clear" w:color="auto" w:fill="FFFFFF"/>
            <w:vAlign w:val="center"/>
          </w:tcPr>
          <w:p>
            <w:r>
              <w:t>181804449.38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316465.30</w:t>
            </w:r>
          </w:p>
        </w:tc>
        <w:tc>
          <w:tcPr>
            <w:tcW w:w="2955" w:type="dxa"/>
            <w:shd w:val="clear" w:color="auto" w:fill="FFFFFF"/>
            <w:vAlign w:val="center"/>
          </w:tcPr>
          <w:p>
            <w:r>
              <w:t>503897.90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7192.42</w:t>
            </w:r>
          </w:p>
        </w:tc>
        <w:tc>
          <w:tcPr>
            <w:tcW w:w="2955" w:type="dxa"/>
            <w:shd w:val="clear" w:color="auto" w:fill="FFFFFF"/>
            <w:vAlign w:val="center"/>
          </w:tcPr>
          <w:p>
            <w:r>
              <w:t>11452.24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3931.77</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7592.42</w:t>
            </w:r>
          </w:p>
        </w:tc>
        <w:tc>
          <w:tcPr>
            <w:tcW w:w="2955" w:type="dxa"/>
            <w:shd w:val="clear" w:color="auto" w:fill="FFFFFF"/>
            <w:vAlign w:val="center"/>
          </w:tcPr>
          <w:p>
            <w:r>
              <w:t>11852.24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335181.91</w:t>
            </w:r>
          </w:p>
        </w:tc>
        <w:tc>
          <w:tcPr>
            <w:tcW w:w="2955" w:type="dxa"/>
            <w:shd w:val="clear" w:color="auto" w:fill="FFFFFF"/>
            <w:vAlign w:val="center"/>
          </w:tcPr>
          <w:p>
            <w:r>
              <w:t>527202.38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116520629.48</w:t>
            </w:r>
          </w:p>
        </w:tc>
        <w:tc>
          <w:tcPr>
            <w:tcW w:w="2955" w:type="dxa"/>
            <w:shd w:val="clear" w:color="auto" w:fill="FFFFFF"/>
            <w:vAlign w:val="center"/>
          </w:tcPr>
          <w:p>
            <w:r>
              <w:t>186218437.04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-7292415.34</w:t>
            </w:r>
          </w:p>
        </w:tc>
        <w:tc>
          <w:tcPr>
            <w:tcW w:w="2955" w:type="dxa"/>
            <w:shd w:val="clear" w:color="auto" w:fill="FFFFFF"/>
            <w:vAlign w:val="center"/>
          </w:tcPr>
          <w:p>
            <w:r>
              <w:t>-4941190.04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109228214.14</w:t>
            </w:r>
          </w:p>
        </w:tc>
        <w:tc>
          <w:tcPr>
            <w:tcW w:w="2955" w:type="dxa"/>
            <w:shd w:val="clear" w:color="auto" w:fill="FFFFFF"/>
            <w:vAlign w:val="center"/>
          </w:tcPr>
          <w:p>
            <w:r>
              <w:t>181277247.00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109563396.05</w:t>
            </w:r>
          </w:p>
        </w:tc>
        <w:tc>
          <w:tcPr>
            <w:tcW w:w="2955" w:type="dxa"/>
            <w:shd w:val="clear" w:color="auto" w:fill="FFFFFF"/>
            <w:vAlign w:val="center"/>
          </w:tcPr>
          <w:p>
            <w:r>
              <w:t>181804449.38</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2022-02-14至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-1401312.54</w:t>
            </w:r>
          </w:p>
        </w:tc>
        <w:tc>
          <w:tcPr>
            <w:tcW w:w="2901" w:type="dxa"/>
            <w:vAlign w:val="center"/>
          </w:tcPr>
          <w:p>
            <w:r>
              <w:t>-2249109.75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33092.13</w:t>
            </w:r>
          </w:p>
        </w:tc>
        <w:tc>
          <w:tcPr>
            <w:tcW w:w="2901" w:type="dxa"/>
            <w:vAlign w:val="center"/>
          </w:tcPr>
          <w:p>
            <w:r>
              <w:t>428078.13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33092.13</w:t>
            </w:r>
          </w:p>
        </w:tc>
        <w:tc>
          <w:tcPr>
            <w:tcW w:w="2901" w:type="dxa"/>
            <w:vAlign w:val="center"/>
          </w:tcPr>
          <w:p>
            <w:r>
              <w:t>428078.13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1125320.04</w:t>
            </w:r>
          </w:p>
        </w:tc>
        <w:tc>
          <w:tcPr>
            <w:tcW w:w="2901" w:type="dxa"/>
            <w:vAlign w:val="center"/>
          </w:tcPr>
          <w:p>
            <w:r>
              <w:t>-223316.89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-837271.37</w:t>
            </w:r>
          </w:p>
        </w:tc>
        <w:tc>
          <w:tcPr>
            <w:tcW w:w="2901" w:type="dxa"/>
            <w:vAlign w:val="center"/>
          </w:tcPr>
          <w:p>
            <w:r>
              <w:t>-223316.890000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1962591.41</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832065.76</w:t>
            </w:r>
          </w:p>
        </w:tc>
        <w:tc>
          <w:tcPr>
            <w:tcW w:w="2901" w:type="dxa"/>
            <w:vAlign w:val="center"/>
          </w:tcPr>
          <w:p>
            <w:r>
              <w:t>-2910437.60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-3391790.47</w:t>
            </w:r>
          </w:p>
        </w:tc>
        <w:tc>
          <w:tcPr>
            <w:tcW w:w="2901" w:type="dxa"/>
            <w:vAlign w:val="center"/>
          </w:tcPr>
          <w:p>
            <w:r>
              <w:t>456566.61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1902033.68</w:t>
            </w:r>
          </w:p>
        </w:tc>
        <w:tc>
          <w:tcPr>
            <w:tcW w:w="2901" w:type="dxa"/>
            <w:vAlign w:val="center"/>
          </w:tcPr>
          <w:p>
            <w:r>
              <w:t>1806052.38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1677818.28</w:t>
            </w:r>
          </w:p>
        </w:tc>
        <w:tc>
          <w:tcPr>
            <w:tcW w:w="2901" w:type="dxa"/>
            <w:vAlign w:val="center"/>
          </w:tcPr>
          <w:p>
            <w:r>
              <w:t>1696605.74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1677818.28</w:t>
            </w:r>
          </w:p>
        </w:tc>
        <w:tc>
          <w:tcPr>
            <w:tcW w:w="2901" w:type="dxa"/>
            <w:vAlign w:val="center"/>
          </w:tcPr>
          <w:p>
            <w:r>
              <w:t>1696605.74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38132.30</w:t>
            </w:r>
          </w:p>
        </w:tc>
        <w:tc>
          <w:tcPr>
            <w:tcW w:w="2901" w:type="dxa"/>
            <w:vAlign w:val="center"/>
          </w:tcPr>
          <w:p>
            <w:r>
              <w:t>38559.15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38132.30</w:t>
            </w:r>
          </w:p>
        </w:tc>
        <w:tc>
          <w:tcPr>
            <w:tcW w:w="2901" w:type="dxa"/>
            <w:vAlign w:val="center"/>
          </w:tcPr>
          <w:p>
            <w:r>
              <w:t>38559.15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143029.53</w:t>
            </w:r>
          </w:p>
        </w:tc>
        <w:tc>
          <w:tcPr>
            <w:tcW w:w="2901" w:type="dxa"/>
            <w:vAlign w:val="center"/>
          </w:tcPr>
          <w:p>
            <w:r>
              <w:t>31928.340000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4921.27</w:t>
            </w:r>
          </w:p>
        </w:tc>
        <w:tc>
          <w:tcPr>
            <w:tcW w:w="2901" w:type="dxa"/>
            <w:vAlign w:val="center"/>
          </w:tcPr>
          <w:p>
            <w: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-3303346.22</w:t>
            </w:r>
          </w:p>
        </w:tc>
        <w:tc>
          <w:tcPr>
            <w:tcW w:w="2901" w:type="dxa"/>
            <w:vAlign w:val="center"/>
          </w:tcPr>
          <w:p>
            <w:r>
              <w:t>-4055162.13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-3303346.22</w:t>
            </w:r>
          </w:p>
        </w:tc>
        <w:tc>
          <w:tcPr>
            <w:tcW w:w="2901" w:type="dxa"/>
            <w:vAlign w:val="center"/>
          </w:tcPr>
          <w:p>
            <w:r>
              <w:t>-4055162.13</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186218437.04</w:t>
            </w:r>
          </w:p>
        </w:tc>
        <w:tc>
          <w:tcPr>
            <w:tcW w:w="2216" w:type="dxa"/>
            <w:shd w:val="clear" w:color="auto" w:fill="FFFFFF"/>
            <w:vAlign w:val="center"/>
          </w:tcPr>
          <w:p>
            <w:r>
              <w:t>-4941190.04</w:t>
            </w:r>
          </w:p>
        </w:tc>
        <w:tc>
          <w:tcPr>
            <w:tcW w:w="2217" w:type="dxa"/>
            <w:shd w:val="clear" w:color="auto" w:fill="FFFFFF"/>
            <w:vAlign w:val="center"/>
          </w:tcPr>
          <w:p>
            <w:r>
              <w:t>181277247.00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-3303346.22</w:t>
            </w:r>
          </w:p>
        </w:tc>
        <w:tc>
          <w:tcPr>
            <w:tcW w:w="2217" w:type="dxa"/>
            <w:shd w:val="clear" w:color="auto" w:fill="FFFFFF"/>
            <w:vAlign w:val="center"/>
          </w:tcPr>
          <w:p>
            <w:r>
              <w:t>-3303346.22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-69697807.56</w:t>
            </w:r>
          </w:p>
        </w:tc>
        <w:tc>
          <w:tcPr>
            <w:tcW w:w="2216" w:type="dxa"/>
            <w:shd w:val="clear" w:color="auto" w:fill="FFFFFF"/>
            <w:vAlign w:val="center"/>
          </w:tcPr>
          <w:p>
            <w:r>
              <w:t>952120.92</w:t>
            </w:r>
          </w:p>
        </w:tc>
        <w:tc>
          <w:tcPr>
            <w:tcW w:w="2217" w:type="dxa"/>
            <w:shd w:val="clear" w:color="auto" w:fill="FFFFFF"/>
            <w:vAlign w:val="center"/>
          </w:tcPr>
          <w:p>
            <w:r>
              <w:t>-68745686.64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-69697807.56</w:t>
            </w:r>
          </w:p>
        </w:tc>
        <w:tc>
          <w:tcPr>
            <w:tcW w:w="2216" w:type="dxa"/>
            <w:shd w:val="clear" w:color="auto" w:fill="FFFFFF"/>
            <w:vAlign w:val="center"/>
          </w:tcPr>
          <w:p>
            <w:r>
              <w:t>952120.92</w:t>
            </w:r>
          </w:p>
        </w:tc>
        <w:tc>
          <w:tcPr>
            <w:tcW w:w="2217" w:type="dxa"/>
            <w:shd w:val="clear" w:color="auto" w:fill="FFFFFF"/>
            <w:vAlign w:val="center"/>
          </w:tcPr>
          <w:p>
            <w:r>
              <w:t>-68745686.64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116520629.48</w:t>
            </w:r>
          </w:p>
        </w:tc>
        <w:tc>
          <w:tcPr>
            <w:tcW w:w="2216" w:type="dxa"/>
            <w:tcBorders>
              <w:bottom w:val="single" w:color="auto" w:sz="4" w:space="0"/>
            </w:tcBorders>
            <w:shd w:val="clear" w:color="auto" w:fill="FFFFFF"/>
            <w:vAlign w:val="center"/>
          </w:tcPr>
          <w:p>
            <w:r>
              <w:t>-7292415.34</w:t>
            </w:r>
          </w:p>
        </w:tc>
        <w:tc>
          <w:tcPr>
            <w:tcW w:w="2217" w:type="dxa"/>
            <w:tcBorders>
              <w:bottom w:val="single" w:color="auto" w:sz="4" w:space="0"/>
            </w:tcBorders>
            <w:shd w:val="clear" w:color="auto" w:fill="FFFFFF"/>
            <w:vAlign w:val="center"/>
          </w:tcPr>
          <w:p>
            <w:r>
              <w:t>109228214.14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2022-02-14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119677356.44</w:t>
            </w:r>
          </w:p>
        </w:tc>
        <w:tc>
          <w:tcPr>
            <w:tcW w:w="2216" w:type="dxa"/>
            <w:shd w:val="clear" w:color="auto" w:fill="FFFFFF"/>
            <w:vAlign w:val="center"/>
          </w:tcPr>
          <w:p>
            <w:r>
              <w:t>0.00</w:t>
            </w:r>
          </w:p>
        </w:tc>
        <w:tc>
          <w:tcPr>
            <w:tcW w:w="2217" w:type="dxa"/>
            <w:shd w:val="clear" w:color="auto" w:fill="FFFFFF"/>
            <w:vAlign w:val="center"/>
          </w:tcPr>
          <w:p>
            <w:r>
              <w:t>119677356.44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-4055162.13</w:t>
            </w:r>
          </w:p>
        </w:tc>
        <w:tc>
          <w:tcPr>
            <w:tcW w:w="2217" w:type="dxa"/>
            <w:shd w:val="clear" w:color="auto" w:fill="FFFFFF"/>
            <w:vAlign w:val="center"/>
          </w:tcPr>
          <w:p>
            <w:r>
              <w:t>-4055162.13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66541080.60</w:t>
            </w:r>
          </w:p>
        </w:tc>
        <w:tc>
          <w:tcPr>
            <w:tcW w:w="2216" w:type="dxa"/>
            <w:shd w:val="clear" w:color="auto" w:fill="FFFFFF"/>
            <w:vAlign w:val="center"/>
          </w:tcPr>
          <w:p>
            <w:r>
              <w:t>-886027.91</w:t>
            </w:r>
          </w:p>
        </w:tc>
        <w:tc>
          <w:tcPr>
            <w:tcW w:w="2217" w:type="dxa"/>
            <w:shd w:val="clear" w:color="auto" w:fill="FFFFFF"/>
            <w:vAlign w:val="center"/>
          </w:tcPr>
          <w:p>
            <w:r>
              <w:t>65655052.69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66541080.60</w:t>
            </w:r>
          </w:p>
        </w:tc>
        <w:tc>
          <w:tcPr>
            <w:tcW w:w="2216" w:type="dxa"/>
            <w:shd w:val="clear" w:color="auto" w:fill="FFFFFF"/>
            <w:vAlign w:val="center"/>
          </w:tcPr>
          <w:p>
            <w:r>
              <w:t>-886027.91</w:t>
            </w:r>
          </w:p>
        </w:tc>
        <w:tc>
          <w:tcPr>
            <w:tcW w:w="2217" w:type="dxa"/>
            <w:shd w:val="clear" w:color="auto" w:fill="FFFFFF"/>
            <w:vAlign w:val="center"/>
          </w:tcPr>
          <w:p>
            <w:r>
              <w:t>65655052.69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186218437.04</w:t>
            </w:r>
          </w:p>
        </w:tc>
        <w:tc>
          <w:tcPr>
            <w:tcW w:w="2216" w:type="dxa"/>
            <w:shd w:val="clear" w:color="auto" w:fill="FFFFFF"/>
            <w:vAlign w:val="center"/>
          </w:tcPr>
          <w:p>
            <w:r>
              <w:t>-4941190.04</w:t>
            </w:r>
          </w:p>
        </w:tc>
        <w:tc>
          <w:tcPr>
            <w:tcW w:w="2217" w:type="dxa"/>
            <w:shd w:val="clear" w:color="auto" w:fill="FFFFFF"/>
            <w:vAlign w:val="center"/>
          </w:tcPr>
          <w:p>
            <w:r>
              <w:t>181277247.00</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9227593.88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248196.70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r>
              <w:t>4108590.59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93479014.88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r>
              <w:t>2500000.00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兴证期货-精选30D期FOF集合资产管理计划2023年年度报告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F4A71"/>
    <w:multiLevelType w:val="singleLevel"/>
    <w:tmpl w:val="ED7F4A71"/>
    <w:lvl w:ilvl="0" w:tentative="0">
      <w:start w:val="4"/>
      <w:numFmt w:val="decimal"/>
      <w:suff w:val="nothing"/>
      <w:lvlText w:val="（%1）"/>
      <w:lvlJc w:val="left"/>
    </w:lvl>
  </w:abstractNum>
  <w:abstractNum w:abstractNumId="1">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DD3188"/>
    <w:multiLevelType w:val="singleLevel"/>
    <w:tmpl w:val="64DD3188"/>
    <w:lvl w:ilvl="0" w:tentative="0">
      <w:start w:val="5"/>
      <w:numFmt w:val="upperLetter"/>
      <w:suff w:val="nothing"/>
      <w:lvlText w:val="%1-"/>
      <w:lvlJc w:val="left"/>
      <w:pPr>
        <w:ind w:left="42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09C"/>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427561D"/>
    <w:rsid w:val="05CB51D4"/>
    <w:rsid w:val="09473326"/>
    <w:rsid w:val="16463A85"/>
    <w:rsid w:val="1BED7C28"/>
    <w:rsid w:val="1F6B7D7F"/>
    <w:rsid w:val="25FF7B35"/>
    <w:rsid w:val="27AB5FBF"/>
    <w:rsid w:val="28026780"/>
    <w:rsid w:val="28DA41F9"/>
    <w:rsid w:val="32841A68"/>
    <w:rsid w:val="33C90582"/>
    <w:rsid w:val="35485963"/>
    <w:rsid w:val="36E02E81"/>
    <w:rsid w:val="37C53C7F"/>
    <w:rsid w:val="3921053F"/>
    <w:rsid w:val="40D96395"/>
    <w:rsid w:val="47A31CE5"/>
    <w:rsid w:val="498A5B11"/>
    <w:rsid w:val="4BC333F6"/>
    <w:rsid w:val="4DD71818"/>
    <w:rsid w:val="51A80954"/>
    <w:rsid w:val="536C539F"/>
    <w:rsid w:val="5A522BE9"/>
    <w:rsid w:val="5D246801"/>
    <w:rsid w:val="66A27F4E"/>
    <w:rsid w:val="66E15097"/>
    <w:rsid w:val="6C4A58F3"/>
    <w:rsid w:val="6C900A85"/>
    <w:rsid w:val="78166CE4"/>
    <w:rsid w:val="7E1D5300"/>
    <w:rsid w:val="7E69275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6</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2024-03-26T02:52:17Z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