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pPr>
    </w:p>
    <w:p>
      <w:pPr>
        <w:pStyle w:val="52"/>
      </w:pPr>
    </w:p>
    <w:p>
      <w:pPr>
        <w:pStyle w:val="52"/>
      </w:pPr>
    </w:p>
    <w:p>
      <w:pPr>
        <w:pStyle w:val="52"/>
        <w:rPr>
          <w:b/>
          <w:bCs/>
          <w:sz w:val="40"/>
          <w:szCs w:val="40"/>
        </w:rPr>
      </w:pPr>
    </w:p>
    <w:p>
      <w:pPr>
        <w:pStyle w:val="52"/>
        <w:rPr>
          <w:b/>
          <w:bCs/>
          <w:sz w:val="40"/>
          <w:szCs w:val="40"/>
        </w:rPr>
      </w:pPr>
    </w:p>
    <w:p>
      <w:pPr>
        <w:pStyle w:val="52"/>
        <w:rPr>
          <w:b/>
          <w:bCs/>
          <w:sz w:val="40"/>
          <w:szCs w:val="40"/>
        </w:rPr>
      </w:pPr>
    </w:p>
    <w:p>
      <w:pPr>
        <w:pStyle w:val="52"/>
        <w:rPr>
          <w:b/>
          <w:bCs/>
          <w:sz w:val="40"/>
          <w:szCs w:val="40"/>
        </w:rPr>
      </w:pPr>
    </w:p>
    <w:p>
      <w:pPr>
        <w:pStyle w:val="52"/>
        <w:ind w:left="0" w:leftChars="0" w:firstLine="0" w:firstLineChars="0"/>
        <w:jc w:val="both"/>
        <w:rPr>
          <w:b/>
          <w:bCs/>
          <w:sz w:val="40"/>
          <w:szCs w:val="40"/>
        </w:rPr>
      </w:pPr>
    </w:p>
    <w:p>
      <w:pPr>
        <w:pStyle w:val="52"/>
        <w:rPr>
          <w:b/>
          <w:bCs/>
          <w:sz w:val="40"/>
          <w:szCs w:val="40"/>
        </w:rPr>
      </w:pPr>
    </w:p>
    <w:p>
      <w:pPr>
        <w:pStyle w:val="52"/>
        <w:rPr>
          <w:b/>
          <w:bCs/>
          <w:sz w:val="40"/>
          <w:szCs w:val="40"/>
        </w:rPr>
      </w:pPr>
    </w:p>
    <w:p>
      <w:pPr>
        <w:pStyle w:val="52"/>
        <w:rPr>
          <w:b/>
          <w:bCs/>
          <w:sz w:val="40"/>
          <w:szCs w:val="40"/>
        </w:rPr>
      </w:pPr>
      <w:r>
        <w:rPr>
          <w:b/>
          <w:bCs/>
          <w:sz w:val="40"/>
          <w:szCs w:val="40"/>
        </w:rPr>
        <w:t xml:space="preserve">兴证期货-精选30C期FOF集合资产管理计划 </w:t>
      </w:r>
    </w:p>
    <w:p>
      <w:pPr>
        <w:pStyle w:val="52"/>
      </w:pPr>
      <w:r>
        <w:rPr>
          <w:b/>
          <w:bCs/>
          <w:sz w:val="40"/>
          <w:szCs w:val="40"/>
        </w:rPr>
        <w:t>2023</w:t>
      </w:r>
      <w:r>
        <w:rPr>
          <w:rFonts w:hint="eastAsia"/>
          <w:b/>
          <w:bCs/>
          <w:sz w:val="40"/>
          <w:szCs w:val="40"/>
        </w:rPr>
        <w:t>年年度报告</w:t>
      </w:r>
    </w:p>
    <w:p>
      <w:pPr>
        <w:pStyle w:val="52"/>
      </w:pPr>
    </w:p>
    <w:p>
      <w:pPr>
        <w:pStyle w:val="52"/>
      </w:pPr>
    </w:p>
    <w:p>
      <w:pPr>
        <w:pStyle w:val="52"/>
        <w:rPr>
          <w:rFonts w:hint="eastAsia"/>
        </w:rPr>
      </w:pPr>
    </w:p>
    <w:p>
      <w:pPr>
        <w:pStyle w:val="52"/>
        <w:rPr>
          <w:rFonts w:hint="eastAsia"/>
        </w:rPr>
      </w:pPr>
    </w:p>
    <w:p>
      <w:pPr>
        <w:pStyle w:val="52"/>
        <w:rPr>
          <w:rFonts w:hint="eastAsia"/>
        </w:rPr>
      </w:pPr>
    </w:p>
    <w:p>
      <w:pPr>
        <w:pStyle w:val="52"/>
        <w:rPr>
          <w:rFonts w:hint="eastAsia"/>
        </w:rPr>
      </w:pPr>
    </w:p>
    <w:p>
      <w:pPr>
        <w:pStyle w:val="52"/>
      </w:pPr>
      <w:r>
        <w:rPr>
          <w:rFonts w:hint="eastAsia"/>
        </w:rPr>
        <w:t> </w:t>
      </w:r>
    </w:p>
    <w:p>
      <w:pPr>
        <w:pStyle w:val="52"/>
      </w:pPr>
    </w:p>
    <w:p>
      <w:pPr>
        <w:pStyle w:val="52"/>
      </w:pPr>
    </w:p>
    <w:p>
      <w:pPr>
        <w:pStyle w:val="52"/>
      </w:pPr>
    </w:p>
    <w:p>
      <w:pPr>
        <w:spacing w:line="360" w:lineRule="auto"/>
        <w:ind w:firstLine="2891" w:firstLineChars="1200"/>
        <w:jc w:val="both"/>
        <w:rPr>
          <w:b/>
          <w:sz w:val="24"/>
        </w:rPr>
      </w:pPr>
      <w:r>
        <w:rPr>
          <w:b/>
          <w:sz w:val="24"/>
        </w:rPr>
        <w:t>资产管理人：兴证期货有限公司</w:t>
      </w:r>
    </w:p>
    <w:p>
      <w:pPr>
        <w:spacing w:line="360" w:lineRule="auto"/>
        <w:ind w:firstLine="2891" w:firstLineChars="1200"/>
        <w:jc w:val="both"/>
        <w:rPr>
          <w:b/>
          <w:sz w:val="24"/>
        </w:rPr>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p>
    <w:p>
      <w:pPr>
        <w:pStyle w:val="52"/>
      </w:pP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兴证期货-精选30C期FOF集合资产管理计划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STB943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19882.46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2037-01-16</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以定量和定性相结合的方式选择和组合子基金，通过多策略分散投资，在严格控制风险的情况下，实现FOF的稳健增值。本计划以投资指数增强、可转债、股票多头等私募为主。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资产管理人向资产委托人提供的报告，将严格按照有关规定通过以下至少一种方式进行。资产委托人信息查询将通过以下至少一种中国证监会允许的、本合同约定的方式进行。</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1、网站</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定期报告、临时报告等有关本资产管理计划的信息将在资产管理人指定网站（http://simu.yixinfund.com）上披露，资产委托人可随时查阅。</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2、传真、电子邮件或手机短信等</w:t>
            </w:r>
          </w:p>
          <w:p>
            <w:pPr>
              <w:widowControl/>
              <w:spacing w:line="348" w:lineRule="auto"/>
              <w:ind w:firstLine="420" w:firstLineChars="200"/>
              <w:contextualSpacing/>
              <w:jc w:val="left"/>
              <w:textAlignment w:val="auto"/>
              <w:rPr>
                <w:szCs w:val="21"/>
              </w:rPr>
            </w:pPr>
            <w:r>
              <w:rPr>
                <w:rFonts w:hint="default" w:ascii="Times New Roman" w:hAnsi="Times New Roman" w:cs="Times New Roman"/>
                <w:color w:val="auto"/>
                <w:kern w:val="2"/>
                <w:sz w:val="21"/>
                <w:szCs w:val="21"/>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-7027644.65</w:t>
            </w:r>
          </w:p>
        </w:tc>
        <w:tc>
          <w:tcPr>
            <w:tcW w:w="2216" w:type="dxa"/>
            <w:vAlign w:val="center"/>
          </w:tcPr>
          <w:p>
            <w:r>
              <w:t>-6063053.35</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-6528284.14</w:t>
            </w:r>
          </w:p>
        </w:tc>
        <w:tc>
          <w:tcPr>
            <w:tcW w:w="2216" w:type="dxa"/>
            <w:tcBorders>
              <w:bottom w:val="single" w:color="auto" w:sz="4" w:space="0"/>
            </w:tcBorders>
            <w:vAlign w:val="center"/>
          </w:tcPr>
          <w:p>
            <w:r>
              <w:t>-17359514.79</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-20787558.62</w:t>
            </w:r>
          </w:p>
        </w:tc>
        <w:tc>
          <w:tcPr>
            <w:tcW w:w="2216" w:type="dxa"/>
            <w:vAlign w:val="center"/>
          </w:tcPr>
          <w:p>
            <w:r>
              <w:t>-17419705.92</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-0.1046</w:t>
            </w:r>
          </w:p>
        </w:tc>
        <w:tc>
          <w:tcPr>
            <w:tcW w:w="2216" w:type="dxa"/>
            <w:vAlign w:val="center"/>
          </w:tcPr>
          <w:p>
            <w:r>
              <w:t>-0.0655</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178037048.45</w:t>
            </w:r>
          </w:p>
        </w:tc>
        <w:tc>
          <w:tcPr>
            <w:tcW w:w="2216" w:type="dxa"/>
            <w:vAlign w:val="center"/>
          </w:tcPr>
          <w:p>
            <w:r>
              <w:t>248558794.57</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0.8954</w:t>
            </w:r>
          </w:p>
        </w:tc>
        <w:tc>
          <w:tcPr>
            <w:tcW w:w="2216" w:type="dxa"/>
            <w:tcBorders>
              <w:bottom w:val="single" w:color="auto" w:sz="4" w:space="0"/>
            </w:tcBorders>
            <w:vAlign w:val="center"/>
          </w:tcPr>
          <w:p>
            <w:r>
              <w:t>0.9345</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-10.46</w:t>
            </w:r>
          </w:p>
        </w:tc>
        <w:tc>
          <w:tcPr>
            <w:tcW w:w="2216" w:type="dxa"/>
            <w:vAlign w:val="center"/>
          </w:tcPr>
          <w:p>
            <w:r>
              <w:t>-6.55</w:t>
            </w: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-4.18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-10.46</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w:t>
            </w:r>
          </w:p>
        </w:tc>
        <w:tc>
          <w:tcPr>
            <w:tcW w:w="1607" w:type="dxa"/>
            <w:shd w:val="clear" w:color="auto" w:fill="FFFFFF"/>
            <w:vAlign w:val="center"/>
          </w:tcPr>
          <w:p>
            <w:r>
              <w:t>0</w:t>
            </w:r>
          </w:p>
        </w:tc>
        <w:tc>
          <w:tcPr>
            <w:tcW w:w="1559" w:type="dxa"/>
            <w:shd w:val="clear" w:color="auto" w:fill="FFFFFF"/>
            <w:vAlign w:val="center"/>
          </w:tcPr>
          <w:p>
            <w:r>
              <w:t>0</w:t>
            </w:r>
          </w:p>
        </w:tc>
        <w:tc>
          <w:tcPr>
            <w:tcW w:w="1559" w:type="dxa"/>
            <w:shd w:val="clear" w:color="auto" w:fill="FFFFFF"/>
            <w:vAlign w:val="center"/>
          </w:tcPr>
          <w:p>
            <w:r>
              <w:t>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26597.850049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6715.389342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19882.460707</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jc w:val="left"/>
              <w:rPr>
                <w:rFonts w:hint="eastAsia" w:ascii="Times New Roman" w:hAnsi="Times New Roman"/>
              </w:rPr>
            </w:pPr>
            <w:r>
              <w:rPr>
                <w:rFonts w:hint="eastAsia"/>
                <w:lang w:val="en-US" w:eastAsia="zh-CN"/>
              </w:rPr>
              <w:t>4</w:t>
            </w:r>
            <w:r>
              <w:rPr>
                <w:rFonts w:hint="eastAsia" w:ascii="Times New Roman" w:hAnsi="Times New Roman"/>
              </w:rPr>
              <w:t>.1 报告期内基金投资决策依据和业绩表现</w:t>
            </w:r>
          </w:p>
          <w:p>
            <w:pPr>
              <w:ind w:firstLine="420" w:firstLineChars="200"/>
              <w:jc w:val="left"/>
              <w:rPr>
                <w:rFonts w:hint="eastAsia" w:ascii="Times New Roman" w:hAnsi="Times New Roman"/>
              </w:rPr>
            </w:pPr>
            <w:r>
              <w:rPr>
                <w:rFonts w:hint="eastAsia" w:ascii="Times New Roman" w:hAnsi="Times New Roman"/>
              </w:rPr>
              <w:t>本计划投资决策依据：以定量和定性相结合的方式选择和组合子基金，通过多策略分散投资，在严格控制风险的情况下，实现FOF的稳健增值。本计划以投资指数增强、可转债、股票多头等私募为主。截止2023年</w:t>
            </w:r>
            <w:r>
              <w:rPr>
                <w:rFonts w:hint="eastAsia" w:ascii="Times New Roman" w:hAnsi="Times New Roman"/>
                <w:lang w:val="en-US" w:eastAsia="zh-CN"/>
              </w:rPr>
              <w:t>12</w:t>
            </w:r>
            <w:r>
              <w:rPr>
                <w:rFonts w:hint="eastAsia" w:ascii="Times New Roman" w:hAnsi="Times New Roman"/>
              </w:rPr>
              <w:t>月3</w:t>
            </w:r>
            <w:r>
              <w:rPr>
                <w:rFonts w:hint="eastAsia" w:ascii="Times New Roman" w:hAnsi="Times New Roman"/>
                <w:lang w:val="en-US" w:eastAsia="zh-CN"/>
              </w:rPr>
              <w:t>1</w:t>
            </w:r>
            <w:r>
              <w:rPr>
                <w:rFonts w:hint="eastAsia" w:ascii="Times New Roman" w:hAnsi="Times New Roman"/>
              </w:rPr>
              <w:t>日本基金期末基金单位净值为0.</w:t>
            </w:r>
            <w:r>
              <w:rPr>
                <w:rFonts w:hint="eastAsia" w:ascii="Times New Roman" w:hAnsi="Times New Roman"/>
                <w:lang w:val="en-US" w:eastAsia="zh-CN"/>
              </w:rPr>
              <w:t>8954</w:t>
            </w:r>
            <w:r>
              <w:rPr>
                <w:rFonts w:hint="eastAsia" w:ascii="Times New Roman" w:hAnsi="Times New Roman"/>
              </w:rPr>
              <w:t>元，期末基金累计单位净值0.</w:t>
            </w:r>
            <w:r>
              <w:rPr>
                <w:rFonts w:hint="eastAsia" w:ascii="Times New Roman" w:hAnsi="Times New Roman"/>
                <w:lang w:val="en-US" w:eastAsia="zh-CN"/>
              </w:rPr>
              <w:t>8954</w:t>
            </w:r>
            <w:r>
              <w:rPr>
                <w:rFonts w:hint="eastAsia" w:ascii="Times New Roman" w:hAnsi="Times New Roman"/>
              </w:rPr>
              <w:t>元。</w:t>
            </w:r>
          </w:p>
          <w:p>
            <w:pPr>
              <w:jc w:val="left"/>
              <w:rPr>
                <w:rFonts w:hint="eastAsia" w:ascii="Times New Roman" w:hAnsi="Times New Roman"/>
              </w:rPr>
            </w:pPr>
            <w:r>
              <w:rPr>
                <w:rFonts w:hint="eastAsia"/>
                <w:lang w:val="en-US" w:eastAsia="zh-CN"/>
              </w:rPr>
              <w:t>4</w:t>
            </w:r>
            <w:r>
              <w:rPr>
                <w:rFonts w:hint="eastAsia" w:ascii="Times New Roman" w:hAnsi="Times New Roman"/>
              </w:rPr>
              <w:t>.2 投资经理</w:t>
            </w:r>
          </w:p>
          <w:p>
            <w:pPr>
              <w:ind w:firstLine="420" w:firstLineChars="200"/>
              <w:jc w:val="left"/>
              <w:rPr>
                <w:rFonts w:hint="eastAsia" w:ascii="Times New Roman" w:hAnsi="Times New Roman"/>
              </w:rPr>
            </w:pPr>
            <w:r>
              <w:rPr>
                <w:rFonts w:hint="eastAsia" w:ascii="Times New Roman" w:hAnsi="Times New Roman"/>
              </w:rPr>
              <w:t>本计划投资经理廉正，期货从业资格编码：F3054039。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jc w:val="left"/>
              <w:rPr>
                <w:rFonts w:hint="eastAsia" w:ascii="Times New Roman" w:hAnsi="Times New Roman"/>
              </w:rPr>
            </w:pPr>
            <w:r>
              <w:rPr>
                <w:rFonts w:hint="eastAsia" w:ascii="Times New Roman" w:hAnsi="Times New Roman"/>
              </w:rPr>
              <w:t>本计划投资经理于淼，期货从业资格编码：</w:t>
            </w:r>
            <w:r>
              <w:rPr>
                <w:rFonts w:ascii="Times New Roman" w:hAnsi="Times New Roman"/>
              </w:rPr>
              <w:t>F03116823</w:t>
            </w:r>
            <w:r>
              <w:rPr>
                <w:rFonts w:hint="eastAsia" w:ascii="Times New Roman" w:hAnsi="Times New Roman"/>
              </w:rPr>
              <w:t>，投资经理从业经验：金融工程硕士，现任兴证期货资产管理部投资经理。2018年7月至2020年11月，在上海和熙投资管理有限公司担任场外衍生品交易员岗位，从事衍生品研究和交易工作;2020年12月至2023年6月</w:t>
            </w:r>
            <w:r>
              <w:rPr>
                <w:rFonts w:hint="eastAsia" w:ascii="Times New Roman" w:hAnsi="Times New Roman"/>
                <w:lang w:eastAsia="zh-CN"/>
              </w:rPr>
              <w:t>，</w:t>
            </w:r>
            <w:r>
              <w:rPr>
                <w:rFonts w:hint="eastAsia" w:ascii="Times New Roman" w:hAnsi="Times New Roman"/>
              </w:rPr>
              <w:t>在华鑫期货有限公司历任研究所研究员、资管部研究员、资管部投资经理岗位，负责量化交易策略的研究和开发工作；2023年6月加盟兴证期货资产管理部。长期从事衍生品研究，量化交易策略开发工作。</w:t>
            </w:r>
          </w:p>
          <w:p>
            <w:pPr>
              <w:ind w:firstLine="420" w:firstLineChars="200"/>
              <w:jc w:val="left"/>
              <w:rPr>
                <w:rFonts w:hint="eastAsia" w:ascii="Times New Roman" w:hAnsi="Times New Roman"/>
              </w:rPr>
            </w:pPr>
            <w:r>
              <w:rPr>
                <w:rFonts w:hint="eastAsia" w:ascii="Times New Roman" w:hAnsi="Times New Roman"/>
              </w:rPr>
              <w:t>本计划投资经理符合法律法规规定的以下条件：（1）已取得从业资格；（2）具有3年以上投资管理、投资研究、投资咨询等相关业务经验；（3）具有良好的诚信记录及职业操守，且最近3年未被监管机构采取重大行政监管措施、行政处罚。</w:t>
            </w:r>
          </w:p>
          <w:p>
            <w:pPr>
              <w:jc w:val="left"/>
              <w:rPr>
                <w:rFonts w:hint="eastAsia" w:ascii="Times New Roman" w:hAnsi="Times New Roman"/>
              </w:rPr>
            </w:pPr>
            <w:r>
              <w:rPr>
                <w:rFonts w:hint="eastAsia"/>
                <w:lang w:val="en-US" w:eastAsia="zh-CN"/>
              </w:rPr>
              <w:t>4</w:t>
            </w:r>
            <w:r>
              <w:rPr>
                <w:rFonts w:hint="eastAsia" w:ascii="Times New Roman" w:hAnsi="Times New Roman"/>
              </w:rPr>
              <w:t xml:space="preserve">.3 报告期内基金估值程序  </w:t>
            </w:r>
          </w:p>
          <w:p>
            <w:pPr>
              <w:ind w:firstLine="420"/>
              <w:jc w:val="left"/>
              <w:rPr>
                <w:rFonts w:hint="eastAsia" w:ascii="Times New Roman" w:hAnsi="Times New Roman"/>
              </w:rPr>
            </w:pPr>
            <w:r>
              <w:rPr>
                <w:rFonts w:hint="eastAsia" w:ascii="Times New Roman" w:hAnsi="Times New Roman"/>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ind w:firstLine="0"/>
              <w:jc w:val="left"/>
              <w:rPr>
                <w:rFonts w:hint="eastAsia" w:ascii="Times New Roman" w:hAnsi="Times New Roman"/>
              </w:rPr>
            </w:pPr>
            <w:r>
              <w:rPr>
                <w:rFonts w:hint="eastAsia"/>
                <w:lang w:val="en-US" w:eastAsia="zh-CN"/>
              </w:rPr>
              <w:t>4</w:t>
            </w:r>
            <w:r>
              <w:rPr>
                <w:rFonts w:hint="eastAsia" w:ascii="Times New Roman" w:hAnsi="Times New Roman"/>
              </w:rPr>
              <w:t>.4 报告期内管理人履职情况</w:t>
            </w:r>
          </w:p>
          <w:p>
            <w:pPr>
              <w:ind w:firstLine="420" w:firstLineChars="200"/>
              <w:jc w:val="left"/>
              <w:rPr>
                <w:rFonts w:hint="eastAsia" w:ascii="Times New Roman" w:hAnsi="Times New Roman"/>
              </w:rPr>
            </w:pPr>
            <w:r>
              <w:rPr>
                <w:rFonts w:hint="eastAsia" w:ascii="Times New Roman" w:hAnsi="Times New Roman"/>
              </w:rPr>
              <w:t xml:space="preserve">公司在资产管理业务经营过程中，将严格遵守以下管理人的职责： </w:t>
            </w:r>
          </w:p>
          <w:p>
            <w:pPr>
              <w:numPr>
                <w:ilvl w:val="0"/>
                <w:numId w:val="2"/>
              </w:numPr>
              <w:ind w:firstLine="420" w:firstLineChars="200"/>
              <w:jc w:val="left"/>
              <w:rPr>
                <w:rFonts w:hint="eastAsia" w:ascii="Times New Roman" w:hAnsi="Times New Roman"/>
              </w:rPr>
            </w:pPr>
            <w:r>
              <w:rPr>
                <w:rFonts w:hint="eastAsia" w:ascii="Times New Roman" w:hAnsi="Times New Roman"/>
              </w:rPr>
              <w:t xml:space="preserve">依法办理资产管理计划的销售、登记、备案事宜；  </w:t>
            </w:r>
          </w:p>
          <w:p>
            <w:pPr>
              <w:numPr>
                <w:ilvl w:val="0"/>
                <w:numId w:val="2"/>
              </w:numPr>
              <w:ind w:firstLine="420" w:firstLineChars="200"/>
              <w:jc w:val="left"/>
              <w:rPr>
                <w:rFonts w:hint="eastAsia" w:ascii="Times New Roman" w:hAnsi="Times New Roman"/>
              </w:rPr>
            </w:pPr>
            <w:r>
              <w:rPr>
                <w:rFonts w:hint="eastAsia" w:ascii="Times New Roman" w:hAnsi="Times New Roman"/>
              </w:rPr>
              <w:t xml:space="preserve">对所管理的不同资产管理计划的受托财产分别管理、分别记账，进行投资；  </w:t>
            </w:r>
          </w:p>
          <w:p>
            <w:pPr>
              <w:numPr>
                <w:ilvl w:val="0"/>
                <w:numId w:val="2"/>
              </w:numPr>
              <w:ind w:firstLine="420" w:firstLineChars="200"/>
              <w:jc w:val="left"/>
              <w:rPr>
                <w:b/>
              </w:rPr>
            </w:pPr>
            <w:r>
              <w:rPr>
                <w:rFonts w:hint="eastAsia" w:ascii="Times New Roman" w:hAnsi="Times New Roman"/>
              </w:rPr>
              <w:t>按照资产管理合同的约定确定收益分配方案，及时向投资者分配收益；</w:t>
            </w:r>
          </w:p>
          <w:p>
            <w:pPr>
              <w:numPr>
                <w:ilvl w:val="0"/>
                <w:numId w:val="2"/>
              </w:numPr>
              <w:ind w:firstLine="420" w:firstLineChars="200"/>
              <w:jc w:val="left"/>
              <w:rPr>
                <w:b/>
              </w:rPr>
            </w:pPr>
            <w:r>
              <w:rPr>
                <w:rFonts w:hint="eastAsia" w:ascii="Times New Roman" w:hAnsi="Times New Roman"/>
              </w:rPr>
              <w:t>进行资产管理计划会计核算并编制资产管理计划财务会计报告</w:t>
            </w:r>
            <w:r>
              <w:rPr>
                <w:rFonts w:hint="eastAsia" w:ascii="Times New Roman" w:hAnsi="Times New Roman"/>
                <w:lang w:eastAsia="zh-CN"/>
              </w:rPr>
              <w:t>；</w:t>
            </w:r>
            <w:r>
              <w:rPr>
                <w:rFonts w:hint="eastAsia" w:ascii="Times New Roman" w:hAnsi="Times New Roman"/>
              </w:rPr>
              <w:t xml:space="preserve"> </w:t>
            </w:r>
          </w:p>
          <w:p>
            <w:pPr>
              <w:numPr>
                <w:ilvl w:val="0"/>
                <w:numId w:val="2"/>
              </w:numPr>
              <w:ind w:firstLine="420" w:firstLineChars="200"/>
              <w:jc w:val="left"/>
              <w:rPr>
                <w:b/>
              </w:rPr>
            </w:pPr>
            <w:r>
              <w:rPr>
                <w:rFonts w:hint="eastAsia" w:ascii="Times New Roman" w:hAnsi="Times New Roman"/>
              </w:rPr>
              <w:t xml:space="preserve">依法计算并披露资产管理计划净值，确定参与、退出价格；  </w:t>
            </w:r>
          </w:p>
          <w:p>
            <w:pPr>
              <w:numPr>
                <w:ilvl w:val="0"/>
                <w:numId w:val="2"/>
              </w:numPr>
              <w:ind w:firstLine="420" w:firstLineChars="200"/>
              <w:jc w:val="left"/>
              <w:rPr>
                <w:b/>
              </w:rPr>
            </w:pPr>
            <w:r>
              <w:rPr>
                <w:rFonts w:hint="eastAsia" w:ascii="Times New Roman" w:hAnsi="Times New Roman"/>
              </w:rPr>
              <w:t xml:space="preserve">办理与受托财产管理业务活动有关的信息披露事项；  </w:t>
            </w:r>
          </w:p>
          <w:p>
            <w:pPr>
              <w:numPr>
                <w:ilvl w:val="0"/>
                <w:numId w:val="2"/>
              </w:numPr>
              <w:ind w:firstLine="420" w:firstLineChars="200"/>
              <w:jc w:val="left"/>
              <w:rPr>
                <w:b/>
              </w:rPr>
            </w:pPr>
            <w:r>
              <w:rPr>
                <w:rFonts w:hint="eastAsia" w:ascii="Times New Roman" w:hAnsi="Times New Roman"/>
              </w:rPr>
              <w:t xml:space="preserve">保存受托财产管理业务活动的记录、账册、报表和其他相关资料；   </w:t>
            </w:r>
          </w:p>
          <w:p>
            <w:pPr>
              <w:numPr>
                <w:ilvl w:val="0"/>
                <w:numId w:val="2"/>
              </w:numPr>
              <w:ind w:firstLine="420" w:firstLineChars="200"/>
              <w:jc w:val="left"/>
              <w:rPr>
                <w:b/>
              </w:rPr>
            </w:pPr>
            <w:r>
              <w:rPr>
                <w:rFonts w:hint="eastAsia" w:ascii="Times New Roman" w:hAnsi="Times New Roman"/>
              </w:rPr>
              <w:t>以管理人名义，代表投资者利益行使诉讼权利或者实施其他法律行为；</w:t>
            </w:r>
          </w:p>
          <w:p>
            <w:pPr>
              <w:numPr>
                <w:ilvl w:val="0"/>
                <w:numId w:val="2"/>
              </w:numPr>
              <w:ind w:firstLine="420" w:firstLineChars="200"/>
              <w:jc w:val="left"/>
              <w:rPr>
                <w:b/>
              </w:rPr>
            </w:pPr>
            <w:r>
              <w:rPr>
                <w:rFonts w:hint="eastAsia" w:ascii="Times New Roman" w:hAnsi="Times New Roman"/>
              </w:rPr>
              <w:t>保证向投资者支付的受托资金及收益返回其参与资产管理计划时使用的结算账户或其同名账户</w:t>
            </w:r>
            <w:r>
              <w:rPr>
                <w:rFonts w:hint="eastAsia" w:ascii="Times New Roman" w:hAnsi="Times New Roman"/>
                <w:lang w:eastAsia="zh-CN"/>
              </w:rPr>
              <w:t>；</w:t>
            </w:r>
          </w:p>
          <w:p>
            <w:pPr>
              <w:numPr>
                <w:ilvl w:val="0"/>
                <w:numId w:val="2"/>
              </w:numPr>
              <w:ind w:firstLine="420" w:firstLineChars="200"/>
              <w:jc w:val="left"/>
              <w:rPr>
                <w:b/>
              </w:rPr>
            </w:pPr>
            <w:r>
              <w:rPr>
                <w:rFonts w:hint="eastAsia" w:ascii="Times New Roman" w:hAnsi="Times New Roman"/>
              </w:rPr>
              <w:t>法律、行政法规和中国证监会规定的其他职责。</w:t>
            </w:r>
          </w:p>
          <w:p>
            <w:pPr>
              <w:jc w:val="left"/>
              <w:rPr>
                <w:rFonts w:hint="eastAsia" w:ascii="Times New Roman" w:hAnsi="Times New Roman"/>
              </w:rPr>
            </w:pPr>
            <w:r>
              <w:rPr>
                <w:rFonts w:hint="eastAsia"/>
                <w:lang w:val="en-US" w:eastAsia="zh-CN"/>
              </w:rPr>
              <w:t>4</w:t>
            </w:r>
            <w:r>
              <w:rPr>
                <w:rFonts w:hint="eastAsia" w:ascii="Times New Roman" w:hAnsi="Times New Roman"/>
              </w:rPr>
              <w:t>.5 文件存放地点</w:t>
            </w:r>
          </w:p>
          <w:p>
            <w:pPr>
              <w:ind w:firstLine="420" w:firstLineChars="200"/>
              <w:jc w:val="left"/>
              <w:rPr>
                <w:rFonts w:hint="eastAsia" w:ascii="Times New Roman" w:hAnsi="Times New Roman"/>
              </w:rPr>
            </w:pPr>
            <w:r>
              <w:rPr>
                <w:rFonts w:hint="eastAsia" w:ascii="Times New Roman" w:hAnsi="Times New Roman"/>
              </w:rPr>
              <w:t>兴证期货有限公司地址：上海市浦东新区长柳路36号兴业证券大厦8楼</w:t>
            </w:r>
          </w:p>
          <w:p>
            <w:pPr>
              <w:ind w:firstLine="420" w:firstLineChars="200"/>
              <w:jc w:val="left"/>
              <w:rPr>
                <w:rFonts w:hint="eastAsia" w:ascii="Times New Roman" w:hAnsi="Times New Roman"/>
              </w:rPr>
            </w:pPr>
            <w:r>
              <w:rPr>
                <w:rFonts w:hint="eastAsia" w:ascii="Times New Roman" w:hAnsi="Times New Roman"/>
              </w:rPr>
              <w:t>联 系 人：</w:t>
            </w:r>
            <w:r>
              <w:rPr>
                <w:rFonts w:hint="eastAsia" w:ascii="宋体" w:hAnsi="宋体"/>
                <w:szCs w:val="21"/>
                <w:lang w:val="en-US" w:eastAsia="zh-CN"/>
              </w:rPr>
              <w:t>孙雯</w:t>
            </w:r>
          </w:p>
          <w:p>
            <w:pPr>
              <w:ind w:firstLine="420" w:firstLineChars="200"/>
              <w:jc w:val="left"/>
              <w:rPr>
                <w:rFonts w:hint="eastAsia" w:ascii="Times New Roman" w:hAnsi="Times New Roman"/>
              </w:rPr>
            </w:pPr>
            <w:r>
              <w:rPr>
                <w:rFonts w:hint="eastAsia" w:ascii="Times New Roman" w:hAnsi="Times New Roman"/>
              </w:rPr>
              <w:t>服务电话：</w:t>
            </w:r>
            <w:r>
              <w:rPr>
                <w:rFonts w:hint="eastAsia" w:ascii="宋体" w:hAnsi="宋体"/>
                <w:szCs w:val="21"/>
              </w:rPr>
              <w:t>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numPr>
                <w:ilvl w:val="-1"/>
                <w:numId w:val="0"/>
              </w:numPr>
              <w:ind w:firstLine="420" w:firstLineChars="200"/>
              <w:jc w:val="left"/>
              <w:rPr>
                <w:rFonts w:hint="eastAsia" w:ascii="Times New Roman" w:hAnsi="Times New Roman"/>
              </w:rPr>
            </w:pPr>
            <w:r>
              <w:rPr>
                <w:rFonts w:hint="eastAsia" w:ascii="Times New Roman" w:hAnsi="Times New Roman"/>
              </w:rPr>
              <w:t>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r>
              <w:rPr>
                <w:rFonts w:hint="eastAsia" w:ascii="Times New Roman" w:hAnsi="Times New Roman"/>
              </w:rPr>
              <w:t xml:space="preserve"> </w:t>
            </w:r>
          </w:p>
          <w:p>
            <w:pPr>
              <w:widowControl/>
              <w:ind w:firstLine="420" w:firstLineChars="200"/>
              <w:jc w:val="left"/>
              <w:textAlignment w:val="center"/>
            </w:pPr>
            <w:r>
              <w:rPr>
                <w:rFonts w:hint="eastAsia" w:ascii="Times New Roman" w:hAnsi="Times New Roman"/>
              </w:rPr>
              <w:t>投资者对本报告书如有任何疑问，可以咨询管理人兴证期货有限公司。</w:t>
            </w:r>
            <w:r>
              <w:rPr>
                <w:rFonts w:hint="eastAsia" w:ascii="Times New Roman" w:hAnsi="Times New Roman"/>
              </w:rPr>
              <w:br w:type="textWrapping"/>
            </w:r>
            <w:r>
              <w:rPr>
                <w:rFonts w:hint="eastAsia"/>
                <w:lang w:val="en-US" w:eastAsia="zh-CN"/>
              </w:rPr>
              <w:t>4</w:t>
            </w:r>
            <w:r>
              <w:rPr>
                <w:rFonts w:hint="eastAsia" w:ascii="Times New Roman" w:hAnsi="Times New Roman"/>
              </w:rPr>
              <w:t>.6 报告期内其他说明情况</w:t>
            </w:r>
            <w:r>
              <w:rPr>
                <w:rFonts w:hint="eastAsia" w:ascii="Times New Roman" w:hAnsi="Times New Roman"/>
              </w:rPr>
              <w:br w:type="textWrapping"/>
            </w:r>
            <w:r>
              <w:rPr>
                <w:rFonts w:hint="eastAsia" w:ascii="Times New Roman" w:hAnsi="Times New Roman"/>
              </w:rPr>
              <w:t xml:space="preserve">    本计划本报告期内</w:t>
            </w:r>
            <w:r>
              <w:rPr>
                <w:rFonts w:hint="eastAsia" w:ascii="宋体" w:hAnsi="宋体" w:cs="宋体"/>
                <w:color w:val="000000"/>
                <w:kern w:val="0"/>
                <w:sz w:val="21"/>
                <w:szCs w:val="21"/>
              </w:rPr>
              <w:t>增加投资经理于淼</w:t>
            </w:r>
            <w:r>
              <w:rPr>
                <w:rFonts w:hint="eastAsia" w:ascii="宋体" w:hAnsi="宋体" w:cs="宋体"/>
                <w:color w:val="000000"/>
                <w:kern w:val="0"/>
                <w:sz w:val="21"/>
                <w:szCs w:val="21"/>
                <w:lang w:eastAsia="zh-CN"/>
              </w:rPr>
              <w:t>，</w:t>
            </w:r>
            <w:r>
              <w:rPr>
                <w:rFonts w:hint="eastAsia" w:ascii="Times New Roman" w:hAnsi="Times New Roman"/>
              </w:rPr>
              <w:t>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本计划托管人依法对年度报告中托管履职期间的财务指标、净值表现、投资组合情况、利润分配情况（如有）、财务会计报告（如有）等财务信息进行了核查，以上内容真实、准确和完整。</w:t>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10784715.27</w:t>
            </w:r>
          </w:p>
        </w:tc>
        <w:tc>
          <w:tcPr>
            <w:tcW w:w="2955" w:type="dxa"/>
            <w:shd w:val="clear" w:color="auto" w:fill="FFFFFF"/>
            <w:vAlign w:val="center"/>
          </w:tcPr>
          <w:p>
            <w:r>
              <w:t>12239581.33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216618.92</w:t>
            </w:r>
          </w:p>
        </w:tc>
        <w:tc>
          <w:tcPr>
            <w:tcW w:w="2955" w:type="dxa"/>
            <w:shd w:val="clear" w:color="auto" w:fill="FFFFFF"/>
            <w:vAlign w:val="center"/>
          </w:tcPr>
          <w:p>
            <w:r>
              <w:t>502063.01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4101450.00</w:t>
            </w:r>
          </w:p>
        </w:tc>
        <w:tc>
          <w:tcPr>
            <w:tcW w:w="2955" w:type="dxa"/>
            <w:shd w:val="clear" w:color="auto" w:fill="FFFFFF"/>
            <w:vAlign w:val="center"/>
          </w:tcPr>
          <w:p>
            <w:r>
              <w:t>25532992.55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4101450.00</w:t>
            </w:r>
          </w:p>
        </w:tc>
        <w:tc>
          <w:tcPr>
            <w:tcW w:w="2955" w:type="dxa"/>
            <w:shd w:val="clear" w:color="auto" w:fill="FFFFFF"/>
            <w:vAlign w:val="center"/>
          </w:tcPr>
          <w:p>
            <w:r>
              <w:t>25532992.55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3000000.00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160482256.78</w:t>
            </w:r>
          </w:p>
        </w:tc>
        <w:tc>
          <w:tcPr>
            <w:tcW w:w="2955" w:type="dxa"/>
            <w:shd w:val="clear" w:color="auto" w:fill="FFFFFF"/>
            <w:vAlign w:val="center"/>
          </w:tcPr>
          <w:p>
            <w:r>
              <w:t>211005205.54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178585040.97</w:t>
            </w:r>
          </w:p>
        </w:tc>
        <w:tc>
          <w:tcPr>
            <w:tcW w:w="2955" w:type="dxa"/>
            <w:tcBorders>
              <w:bottom w:val="single" w:color="auto" w:sz="4" w:space="0"/>
            </w:tcBorders>
            <w:shd w:val="clear" w:color="auto" w:fill="FFFFFF"/>
            <w:vAlign w:val="center"/>
          </w:tcPr>
          <w:p>
            <w:r>
              <w:t>249279842.43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519816.35</w:t>
            </w:r>
          </w:p>
        </w:tc>
        <w:tc>
          <w:tcPr>
            <w:tcW w:w="2955" w:type="dxa"/>
            <w:shd w:val="clear" w:color="auto" w:fill="FFFFFF"/>
            <w:vAlign w:val="center"/>
          </w:tcPr>
          <w:p>
            <w:r>
              <w:t>689315.38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11813.99</w:t>
            </w:r>
          </w:p>
        </w:tc>
        <w:tc>
          <w:tcPr>
            <w:tcW w:w="2955" w:type="dxa"/>
            <w:shd w:val="clear" w:color="auto" w:fill="FFFFFF"/>
            <w:vAlign w:val="center"/>
          </w:tcPr>
          <w:p>
            <w:r>
              <w:t>15666.24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3748.19</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12613.99</w:t>
            </w:r>
          </w:p>
        </w:tc>
        <w:tc>
          <w:tcPr>
            <w:tcW w:w="2955" w:type="dxa"/>
            <w:shd w:val="clear" w:color="auto" w:fill="FFFFFF"/>
            <w:vAlign w:val="center"/>
          </w:tcPr>
          <w:p>
            <w:r>
              <w:t>16066.24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547992.52</w:t>
            </w:r>
          </w:p>
        </w:tc>
        <w:tc>
          <w:tcPr>
            <w:tcW w:w="2955" w:type="dxa"/>
            <w:shd w:val="clear" w:color="auto" w:fill="FFFFFF"/>
            <w:vAlign w:val="center"/>
          </w:tcPr>
          <w:p>
            <w:r>
              <w:t>721047.86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198824607.07</w:t>
            </w:r>
          </w:p>
        </w:tc>
        <w:tc>
          <w:tcPr>
            <w:tcW w:w="2955" w:type="dxa"/>
            <w:shd w:val="clear" w:color="auto" w:fill="FFFFFF"/>
            <w:vAlign w:val="center"/>
          </w:tcPr>
          <w:p>
            <w:r>
              <w:t>265978500.49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-20787558.62</w:t>
            </w:r>
          </w:p>
        </w:tc>
        <w:tc>
          <w:tcPr>
            <w:tcW w:w="2955" w:type="dxa"/>
            <w:shd w:val="clear" w:color="auto" w:fill="FFFFFF"/>
            <w:vAlign w:val="center"/>
          </w:tcPr>
          <w:p>
            <w:r>
              <w:t>-17419705.92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178037048.45</w:t>
            </w:r>
          </w:p>
        </w:tc>
        <w:tc>
          <w:tcPr>
            <w:tcW w:w="2955" w:type="dxa"/>
            <w:shd w:val="clear" w:color="auto" w:fill="FFFFFF"/>
            <w:vAlign w:val="center"/>
          </w:tcPr>
          <w:p>
            <w:r>
              <w:t>248558794.57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178585040.97</w:t>
            </w:r>
          </w:p>
        </w:tc>
        <w:tc>
          <w:tcPr>
            <w:tcW w:w="2955" w:type="dxa"/>
            <w:shd w:val="clear" w:color="auto" w:fill="FFFFFF"/>
            <w:vAlign w:val="center"/>
          </w:tcPr>
          <w:p>
            <w:r>
              <w:t>249279842.43</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2022-01-17至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-3715533.48</w:t>
            </w:r>
          </w:p>
        </w:tc>
        <w:tc>
          <w:tcPr>
            <w:tcW w:w="2901" w:type="dxa"/>
            <w:vAlign w:val="center"/>
          </w:tcPr>
          <w:p>
            <w:r>
              <w:t>-14505957.61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45925.46</w:t>
            </w:r>
          </w:p>
        </w:tc>
        <w:tc>
          <w:tcPr>
            <w:tcW w:w="2901" w:type="dxa"/>
            <w:vAlign w:val="center"/>
          </w:tcPr>
          <w:p>
            <w:r>
              <w:t>567267.92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45925.46</w:t>
            </w:r>
          </w:p>
        </w:tc>
        <w:tc>
          <w:tcPr>
            <w:tcW w:w="2901" w:type="dxa"/>
            <w:vAlign w:val="center"/>
          </w:tcPr>
          <w:p>
            <w:r>
              <w:t>567267.92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650719.06</w:t>
            </w:r>
          </w:p>
        </w:tc>
        <w:tc>
          <w:tcPr>
            <w:tcW w:w="2901" w:type="dxa"/>
            <w:vAlign w:val="center"/>
          </w:tcPr>
          <w:p>
            <w:r>
              <w:t>-646558.15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-1464344.50</w:t>
            </w:r>
          </w:p>
        </w:tc>
        <w:tc>
          <w:tcPr>
            <w:tcW w:w="2901" w:type="dxa"/>
            <w:vAlign w:val="center"/>
          </w:tcPr>
          <w:p>
            <w:r>
              <w:t>-646558.15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2115063.56</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499762.10</w:t>
            </w:r>
          </w:p>
        </w:tc>
        <w:tc>
          <w:tcPr>
            <w:tcW w:w="2901" w:type="dxa"/>
            <w:vAlign w:val="center"/>
          </w:tcPr>
          <w:p>
            <w:r>
              <w:t>-11296461.44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-4911940.10</w:t>
            </w:r>
          </w:p>
        </w:tc>
        <w:tc>
          <w:tcPr>
            <w:tcW w:w="2901" w:type="dxa"/>
            <w:vAlign w:val="center"/>
          </w:tcPr>
          <w:p>
            <w:r>
              <w:t>-3130205.94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2812750.66</w:t>
            </w:r>
          </w:p>
        </w:tc>
        <w:tc>
          <w:tcPr>
            <w:tcW w:w="2901" w:type="dxa"/>
            <w:vAlign w:val="center"/>
          </w:tcPr>
          <w:p>
            <w:r>
              <w:t>2853557.18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2436242.00</w:t>
            </w:r>
          </w:p>
        </w:tc>
        <w:tc>
          <w:tcPr>
            <w:tcW w:w="2901" w:type="dxa"/>
            <w:vAlign w:val="center"/>
          </w:tcPr>
          <w:p>
            <w:r>
              <w:t>2674381.49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2436242.00</w:t>
            </w:r>
          </w:p>
        </w:tc>
        <w:tc>
          <w:tcPr>
            <w:tcW w:w="2901" w:type="dxa"/>
            <w:vAlign w:val="center"/>
          </w:tcPr>
          <w:p>
            <w:r>
              <w:t>2674381.49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55369.20</w:t>
            </w:r>
          </w:p>
        </w:tc>
        <w:tc>
          <w:tcPr>
            <w:tcW w:w="2901" w:type="dxa"/>
            <w:vAlign w:val="center"/>
          </w:tcPr>
          <w:p>
            <w:r>
              <w:t>60781.53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55369.20</w:t>
            </w:r>
          </w:p>
        </w:tc>
        <w:tc>
          <w:tcPr>
            <w:tcW w:w="2901" w:type="dxa"/>
            <w:vAlign w:val="center"/>
          </w:tcPr>
          <w:p>
            <w:r>
              <w:t>60781.53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260468.67</w:t>
            </w:r>
          </w:p>
        </w:tc>
        <w:tc>
          <w:tcPr>
            <w:tcW w:w="2901" w:type="dxa"/>
            <w:vAlign w:val="center"/>
          </w:tcPr>
          <w:p>
            <w:r>
              <w:t>57212.63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5301.59</w:t>
            </w:r>
          </w:p>
        </w:tc>
        <w:tc>
          <w:tcPr>
            <w:tcW w:w="2901" w:type="dxa"/>
            <w:vAlign w:val="center"/>
          </w:tcPr>
          <w:p>
            <w: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-6528284.14</w:t>
            </w:r>
          </w:p>
        </w:tc>
        <w:tc>
          <w:tcPr>
            <w:tcW w:w="2901" w:type="dxa"/>
            <w:vAlign w:val="center"/>
          </w:tcPr>
          <w:p>
            <w:r>
              <w:t>-17359514.79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-6528284.14</w:t>
            </w:r>
          </w:p>
        </w:tc>
        <w:tc>
          <w:tcPr>
            <w:tcW w:w="2901" w:type="dxa"/>
            <w:vAlign w:val="center"/>
          </w:tcPr>
          <w:p>
            <w:r>
              <w:t>-17359514.79</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265978500.49</w:t>
            </w:r>
          </w:p>
        </w:tc>
        <w:tc>
          <w:tcPr>
            <w:tcW w:w="2216" w:type="dxa"/>
            <w:shd w:val="clear" w:color="auto" w:fill="FFFFFF"/>
            <w:vAlign w:val="center"/>
          </w:tcPr>
          <w:p>
            <w:r>
              <w:t>-17419705.92</w:t>
            </w:r>
          </w:p>
        </w:tc>
        <w:tc>
          <w:tcPr>
            <w:tcW w:w="2217" w:type="dxa"/>
            <w:shd w:val="clear" w:color="auto" w:fill="FFFFFF"/>
            <w:vAlign w:val="center"/>
          </w:tcPr>
          <w:p>
            <w:r>
              <w:t>248558794.57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-6528284.14</w:t>
            </w:r>
          </w:p>
        </w:tc>
        <w:tc>
          <w:tcPr>
            <w:tcW w:w="2217" w:type="dxa"/>
            <w:shd w:val="clear" w:color="auto" w:fill="FFFFFF"/>
            <w:vAlign w:val="center"/>
          </w:tcPr>
          <w:p>
            <w:r>
              <w:t>-6528284.14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-67153893.42</w:t>
            </w:r>
          </w:p>
        </w:tc>
        <w:tc>
          <w:tcPr>
            <w:tcW w:w="2216" w:type="dxa"/>
            <w:shd w:val="clear" w:color="auto" w:fill="FFFFFF"/>
            <w:vAlign w:val="center"/>
          </w:tcPr>
          <w:p>
            <w:r>
              <w:t>3160431.44</w:t>
            </w:r>
          </w:p>
        </w:tc>
        <w:tc>
          <w:tcPr>
            <w:tcW w:w="2217" w:type="dxa"/>
            <w:shd w:val="clear" w:color="auto" w:fill="FFFFFF"/>
            <w:vAlign w:val="center"/>
          </w:tcPr>
          <w:p>
            <w:r>
              <w:t>-63993461.98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-67153893.42</w:t>
            </w:r>
          </w:p>
        </w:tc>
        <w:tc>
          <w:tcPr>
            <w:tcW w:w="2216" w:type="dxa"/>
            <w:shd w:val="clear" w:color="auto" w:fill="FFFFFF"/>
            <w:vAlign w:val="center"/>
          </w:tcPr>
          <w:p>
            <w:r>
              <w:t>3160431.44</w:t>
            </w:r>
          </w:p>
        </w:tc>
        <w:tc>
          <w:tcPr>
            <w:tcW w:w="2217" w:type="dxa"/>
            <w:shd w:val="clear" w:color="auto" w:fill="FFFFFF"/>
            <w:vAlign w:val="center"/>
          </w:tcPr>
          <w:p>
            <w:r>
              <w:t>-63993461.98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198824607.07</w:t>
            </w:r>
          </w:p>
        </w:tc>
        <w:tc>
          <w:tcPr>
            <w:tcW w:w="2216" w:type="dxa"/>
            <w:tcBorders>
              <w:bottom w:val="single" w:color="auto" w:sz="4" w:space="0"/>
            </w:tcBorders>
            <w:shd w:val="clear" w:color="auto" w:fill="FFFFFF"/>
            <w:vAlign w:val="center"/>
          </w:tcPr>
          <w:p>
            <w:r>
              <w:t>-20787558.62</w:t>
            </w:r>
          </w:p>
        </w:tc>
        <w:tc>
          <w:tcPr>
            <w:tcW w:w="2217" w:type="dxa"/>
            <w:tcBorders>
              <w:bottom w:val="single" w:color="auto" w:sz="4" w:space="0"/>
            </w:tcBorders>
            <w:shd w:val="clear" w:color="auto" w:fill="FFFFFF"/>
            <w:vAlign w:val="center"/>
          </w:tcPr>
          <w:p>
            <w:r>
              <w:t>178037048.45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2022-01-17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248168309.36</w:t>
            </w:r>
          </w:p>
        </w:tc>
        <w:tc>
          <w:tcPr>
            <w:tcW w:w="2216" w:type="dxa"/>
            <w:shd w:val="clear" w:color="auto" w:fill="FFFFFF"/>
            <w:vAlign w:val="center"/>
          </w:tcPr>
          <w:p>
            <w:r>
              <w:t>0.00</w:t>
            </w:r>
          </w:p>
        </w:tc>
        <w:tc>
          <w:tcPr>
            <w:tcW w:w="2217" w:type="dxa"/>
            <w:shd w:val="clear" w:color="auto" w:fill="FFFFFF"/>
            <w:vAlign w:val="center"/>
          </w:tcPr>
          <w:p>
            <w:r>
              <w:t>248168309.36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-17359514.79</w:t>
            </w:r>
          </w:p>
        </w:tc>
        <w:tc>
          <w:tcPr>
            <w:tcW w:w="2217" w:type="dxa"/>
            <w:shd w:val="clear" w:color="auto" w:fill="FFFFFF"/>
            <w:vAlign w:val="center"/>
          </w:tcPr>
          <w:p>
            <w:r>
              <w:t>-17359514.79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17810191.13</w:t>
            </w:r>
          </w:p>
        </w:tc>
        <w:tc>
          <w:tcPr>
            <w:tcW w:w="2216" w:type="dxa"/>
            <w:shd w:val="clear" w:color="auto" w:fill="FFFFFF"/>
            <w:vAlign w:val="center"/>
          </w:tcPr>
          <w:p>
            <w:r>
              <w:t>-60191.13</w:t>
            </w:r>
          </w:p>
        </w:tc>
        <w:tc>
          <w:tcPr>
            <w:tcW w:w="2217" w:type="dxa"/>
            <w:shd w:val="clear" w:color="auto" w:fill="FFFFFF"/>
            <w:vAlign w:val="center"/>
          </w:tcPr>
          <w:p>
            <w:r>
              <w:t>17750000.00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17810191.13</w:t>
            </w:r>
          </w:p>
        </w:tc>
        <w:tc>
          <w:tcPr>
            <w:tcW w:w="2216" w:type="dxa"/>
            <w:shd w:val="clear" w:color="auto" w:fill="FFFFFF"/>
            <w:vAlign w:val="center"/>
          </w:tcPr>
          <w:p>
            <w:r>
              <w:t>-60191.13</w:t>
            </w:r>
          </w:p>
        </w:tc>
        <w:tc>
          <w:tcPr>
            <w:tcW w:w="2217" w:type="dxa"/>
            <w:shd w:val="clear" w:color="auto" w:fill="FFFFFF"/>
            <w:vAlign w:val="center"/>
          </w:tcPr>
          <w:p>
            <w:r>
              <w:t>17750000.00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265978500.49</w:t>
            </w:r>
          </w:p>
        </w:tc>
        <w:tc>
          <w:tcPr>
            <w:tcW w:w="2216" w:type="dxa"/>
            <w:shd w:val="clear" w:color="auto" w:fill="FFFFFF"/>
            <w:vAlign w:val="center"/>
          </w:tcPr>
          <w:p>
            <w:r>
              <w:t>-17419705.92</w:t>
            </w:r>
          </w:p>
        </w:tc>
        <w:tc>
          <w:tcPr>
            <w:tcW w:w="2217" w:type="dxa"/>
            <w:shd w:val="clear" w:color="auto" w:fill="FFFFFF"/>
            <w:vAlign w:val="center"/>
          </w:tcPr>
          <w:p>
            <w:r>
              <w:t>248558794.57</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10784715.27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216618.92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r>
              <w:t>4101450.00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160482256.78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r>
              <w:t>3000000.00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兴证期货-精选30C期FOF集合资产管理计划2023年年度报告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B9DA"/>
    <w:multiLevelType w:val="singleLevel"/>
    <w:tmpl w:val="9353B9DA"/>
    <w:lvl w:ilvl="0" w:tentative="0">
      <w:start w:val="1"/>
      <w:numFmt w:val="decimal"/>
      <w:suff w:val="nothing"/>
      <w:lvlText w:val="（%1）"/>
      <w:lvlJc w:val="left"/>
      <w:rPr>
        <w:b w:val="0"/>
        <w:bCs/>
      </w:rPr>
    </w:lvl>
  </w:abstractNum>
  <w:abstractNum w:abstractNumId="1">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6A97612"/>
    <w:rsid w:val="09473326"/>
    <w:rsid w:val="108C68B8"/>
    <w:rsid w:val="1BED7C28"/>
    <w:rsid w:val="1F6B7D7F"/>
    <w:rsid w:val="1FBB7ACD"/>
    <w:rsid w:val="25FF7B35"/>
    <w:rsid w:val="27AB5FBF"/>
    <w:rsid w:val="28026780"/>
    <w:rsid w:val="28DA41F9"/>
    <w:rsid w:val="30872404"/>
    <w:rsid w:val="405301CB"/>
    <w:rsid w:val="42567E88"/>
    <w:rsid w:val="479D2862"/>
    <w:rsid w:val="488C1EEE"/>
    <w:rsid w:val="498A5B11"/>
    <w:rsid w:val="4BC333F6"/>
    <w:rsid w:val="4DD71818"/>
    <w:rsid w:val="5020401E"/>
    <w:rsid w:val="51A80954"/>
    <w:rsid w:val="536C539F"/>
    <w:rsid w:val="66A27F4E"/>
    <w:rsid w:val="66E15097"/>
    <w:rsid w:val="6C4A58F3"/>
    <w:rsid w:val="6C724908"/>
    <w:rsid w:val="6C900A85"/>
    <w:rsid w:val="70E12891"/>
    <w:rsid w:val="78166CE4"/>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1</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2024-03-26T02:52:00Z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