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ascii="宋体" w:hAnsi="宋体"/>
          <w:b/>
          <w:sz w:val="40"/>
          <w:szCs w:val="40"/>
        </w:rPr>
      </w:pPr>
      <w:r>
        <w:rPr>
          <w:rFonts w:hint="eastAsia" w:ascii="宋体" w:hAnsi="宋体"/>
          <w:b/>
          <w:sz w:val="40"/>
          <w:szCs w:val="40"/>
        </w:rPr>
        <w:t>兴证期货-兴珑CTA精选FOF一号集合资产管理计划2023年年度报告</w:t>
      </w:r>
    </w:p>
    <w:p>
      <w:pPr>
        <w:spacing w:line="360" w:lineRule="auto"/>
        <w:ind w:firstLine="4016" w:firstLineChars="1000"/>
        <w:jc w:val="both"/>
        <w:rPr>
          <w:b/>
          <w:sz w:val="40"/>
          <w:szCs w:val="40"/>
        </w:rPr>
      </w:pPr>
    </w:p>
    <w:p>
      <w:pPr>
        <w:spacing w:line="360" w:lineRule="auto"/>
        <w:ind w:firstLine="2409" w:firstLineChars="1000"/>
        <w:jc w:val="both"/>
        <w:rPr>
          <w:b/>
          <w:sz w:val="24"/>
        </w:rPr>
      </w:pPr>
    </w:p>
    <w:p>
      <w:pPr>
        <w:spacing w:line="360" w:lineRule="auto"/>
        <w:ind w:firstLine="2409" w:firstLineChars="1000"/>
        <w:jc w:val="both"/>
        <w:rPr>
          <w:b/>
          <w:sz w:val="24"/>
        </w:rPr>
      </w:pPr>
    </w:p>
    <w:p>
      <w:pPr>
        <w:spacing w:line="360" w:lineRule="auto"/>
        <w:ind w:firstLine="2409" w:firstLineChars="1000"/>
        <w:jc w:val="both"/>
        <w:rPr>
          <w:b/>
          <w:sz w:val="24"/>
        </w:rPr>
      </w:pPr>
    </w:p>
    <w:p>
      <w:pPr>
        <w:spacing w:line="360" w:lineRule="auto"/>
        <w:ind w:firstLine="2409" w:firstLineChars="1000"/>
        <w:jc w:val="both"/>
        <w:rPr>
          <w:b/>
          <w:sz w:val="24"/>
        </w:rPr>
      </w:pPr>
    </w:p>
    <w:p>
      <w:pPr>
        <w:spacing w:line="360" w:lineRule="auto"/>
        <w:ind w:firstLine="2409" w:firstLineChars="1000"/>
        <w:jc w:val="both"/>
        <w:rPr>
          <w:b/>
          <w:sz w:val="24"/>
        </w:rPr>
      </w:pPr>
    </w:p>
    <w:p>
      <w:pPr>
        <w:spacing w:line="360" w:lineRule="auto"/>
        <w:ind w:firstLine="2409" w:firstLineChars="1000"/>
        <w:jc w:val="both"/>
        <w:rPr>
          <w:b/>
          <w:sz w:val="24"/>
        </w:rPr>
      </w:pPr>
    </w:p>
    <w:p>
      <w:pPr>
        <w:spacing w:line="360" w:lineRule="auto"/>
        <w:ind w:firstLine="2409" w:firstLineChars="1000"/>
        <w:jc w:val="both"/>
        <w:rPr>
          <w:b/>
          <w:sz w:val="24"/>
        </w:rPr>
      </w:pPr>
    </w:p>
    <w:p>
      <w:pPr>
        <w:spacing w:line="360" w:lineRule="auto"/>
        <w:ind w:firstLine="2409" w:firstLineChars="1000"/>
        <w:jc w:val="both"/>
        <w:rPr>
          <w:b/>
          <w:sz w:val="24"/>
        </w:rPr>
      </w:pPr>
    </w:p>
    <w:p>
      <w:pPr>
        <w:spacing w:line="360" w:lineRule="auto"/>
        <w:ind w:firstLine="2409" w:firstLineChars="1000"/>
        <w:jc w:val="both"/>
        <w:rPr>
          <w:b/>
          <w:sz w:val="24"/>
        </w:rPr>
      </w:pPr>
    </w:p>
    <w:p>
      <w:pPr>
        <w:spacing w:line="360" w:lineRule="auto"/>
        <w:ind w:firstLine="2409" w:firstLineChars="1000"/>
        <w:jc w:val="both"/>
        <w:rPr>
          <w:b/>
          <w:sz w:val="24"/>
        </w:rPr>
      </w:pPr>
    </w:p>
    <w:p>
      <w:pPr>
        <w:spacing w:line="360" w:lineRule="auto"/>
        <w:ind w:firstLine="2409" w:firstLineChars="1000"/>
        <w:jc w:val="both"/>
        <w:rPr>
          <w:b/>
          <w:sz w:val="24"/>
        </w:rPr>
      </w:pPr>
    </w:p>
    <w:p>
      <w:pPr>
        <w:spacing w:line="360" w:lineRule="auto"/>
        <w:ind w:firstLine="2409" w:firstLineChars="1000"/>
        <w:jc w:val="both"/>
        <w:rPr>
          <w:b/>
          <w:sz w:val="24"/>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jc w:val="center"/>
        <w:rPr>
          <w:rFonts w:ascii="宋体" w:hAnsi="宋体"/>
          <w:b/>
          <w:sz w:val="28"/>
          <w:szCs w:val="28"/>
        </w:rPr>
      </w:pPr>
    </w:p>
    <w:p>
      <w:pPr>
        <w:pStyle w:val="2"/>
        <w:numPr>
          <w:ilvl w:val="0"/>
          <w:numId w:val="1"/>
        </w:numPr>
        <w:rPr>
          <w:rFonts w:ascii="宋体" w:hAnsi="宋体"/>
        </w:rPr>
      </w:pPr>
      <w:bookmarkStart w:id="0" w:name="_Toc445130137"/>
      <w:r>
        <w:rPr>
          <w:rFonts w:hint="eastAsia" w:ascii="宋体" w:hAnsi="宋体"/>
        </w:rPr>
        <w:t>基金产品概况</w:t>
      </w:r>
      <w:bookmarkEnd w:id="0"/>
    </w:p>
    <w:p>
      <w:pPr>
        <w:pStyle w:val="27"/>
        <w:numPr>
          <w:ilvl w:val="0"/>
          <w:numId w:val="2"/>
        </w:numPr>
        <w:ind w:firstLineChars="0"/>
        <w:outlineLvl w:val="1"/>
        <w:rPr>
          <w:rFonts w:ascii="宋体" w:hAnsi="宋体"/>
          <w:szCs w:val="21"/>
        </w:rPr>
      </w:pPr>
      <w:r>
        <w:rPr>
          <w:rFonts w:hint="eastAsia" w:ascii="宋体" w:hAnsi="宋体"/>
          <w:szCs w:val="21"/>
        </w:rPr>
        <w:t>基金基本情况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基金名称</w:t>
            </w:r>
          </w:p>
        </w:tc>
        <w:tc>
          <w:tcPr>
            <w:tcW w:w="3439" w:type="pct"/>
          </w:tcPr>
          <w:p>
            <w:pPr>
              <w:tabs>
                <w:tab w:val="left" w:pos="1210"/>
              </w:tabs>
              <w:rPr>
                <w:rFonts w:ascii="宋体" w:hAnsi="宋体"/>
              </w:rPr>
            </w:pPr>
            <w:r>
              <w:rPr>
                <w:rFonts w:ascii="宋体" w:hAnsi="宋体"/>
              </w:rPr>
              <w:t>兴证期货-兴珑CTA精选FOF一号集合资产管理计划</w:t>
            </w:r>
            <w:r>
              <w:rPr>
                <w:rFonts w:ascii="宋体" w:hAnsi="宋体"/>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9" w:type="pct"/>
          </w:tcPr>
          <w:p>
            <w:pPr>
              <w:rPr>
                <w:rFonts w:ascii="宋体" w:hAnsi="宋体"/>
              </w:rPr>
            </w:pPr>
            <w:r>
              <w:rPr>
                <w:rFonts w:ascii="宋体" w:hAnsi="宋体"/>
              </w:rPr>
              <w:t>SQK076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9" w:type="pct"/>
          </w:tcPr>
          <w:p>
            <w:pPr>
              <w:rPr>
                <w:rFonts w:ascii="宋体" w:hAnsi="宋体"/>
              </w:rPr>
            </w:pPr>
            <w:r>
              <w:rPr>
                <w:rFonts w:ascii="宋体" w:hAnsi="宋体"/>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9" w:type="pct"/>
          </w:tcPr>
          <w:p>
            <w:pPr>
              <w:rPr>
                <w:rFonts w:ascii="宋体" w:hAnsi="宋体"/>
              </w:rPr>
            </w:pPr>
            <w:r>
              <w:rPr>
                <w:rFonts w:ascii="宋体" w:hAnsi="宋体"/>
              </w:rPr>
              <w:t>2021年5月7日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9" w:type="pct"/>
          </w:tcPr>
          <w:p>
            <w:pPr>
              <w:rPr>
                <w:rFonts w:ascii="宋体" w:hAnsi="宋体"/>
              </w:rPr>
            </w:pPr>
            <w:r>
              <w:rPr>
                <w:rFonts w:ascii="宋体" w:hAnsi="宋体"/>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9"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9" w:type="pct"/>
          </w:tcPr>
          <w:p>
            <w:pPr>
              <w:rPr>
                <w:rFonts w:hint="eastAsia" w:ascii="宋体" w:hAnsi="宋体" w:eastAsia="宋体"/>
                <w:lang w:eastAsia="zh-CN"/>
              </w:rPr>
            </w:pPr>
            <w:r>
              <w:rPr>
                <w:rFonts w:hint="eastAsia" w:ascii="宋体" w:hAnsi="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9" w:type="pct"/>
            <w:vAlign w:val="center"/>
          </w:tcPr>
          <w:p>
            <w:pPr>
              <w:jc w:val="right"/>
              <w:rPr>
                <w:rFonts w:ascii="宋体" w:hAnsi="宋体"/>
              </w:rPr>
            </w:pPr>
            <w:r>
              <w:rPr>
                <w:rFonts w:ascii="宋体" w:hAnsi="宋体"/>
              </w:rPr>
              <w:t>496.71</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基金到期日期</w:t>
            </w:r>
          </w:p>
        </w:tc>
        <w:tc>
          <w:tcPr>
            <w:tcW w:w="3439" w:type="pct"/>
          </w:tcPr>
          <w:p>
            <w:pPr>
              <w:rPr>
                <w:rFonts w:ascii="宋体" w:hAnsi="宋体"/>
              </w:rPr>
            </w:pPr>
            <w:r>
              <w:rPr>
                <w:rFonts w:ascii="宋体" w:hAnsi="宋体"/>
              </w:rPr>
              <w:t>2026年5月6日</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基金产品说明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投资目标</w:t>
            </w:r>
          </w:p>
        </w:tc>
        <w:tc>
          <w:tcPr>
            <w:tcW w:w="2500" w:type="pct"/>
          </w:tcPr>
          <w:p>
            <w:pPr>
              <w:rPr>
                <w:rFonts w:ascii="宋体" w:hAnsi="宋体"/>
              </w:rPr>
            </w:pPr>
            <w:r>
              <w:rPr>
                <w:rFonts w:ascii="宋体" w:hAnsi="宋体"/>
                <w:szCs w:val="21"/>
              </w:rPr>
              <w:t>在投资期限内，在严格控制风险的前提下，</w:t>
            </w:r>
            <w:r>
              <w:rPr>
                <w:rFonts w:hint="eastAsia" w:ascii="宋体" w:hAnsi="宋体"/>
                <w:szCs w:val="21"/>
              </w:rPr>
              <w:t>力</w:t>
            </w:r>
            <w:r>
              <w:rPr>
                <w:rFonts w:ascii="宋体" w:hAnsi="宋体"/>
                <w:szCs w:val="21"/>
              </w:rPr>
              <w:t>求委托财产的</w:t>
            </w:r>
            <w:r>
              <w:rPr>
                <w:rFonts w:hint="eastAsia" w:ascii="宋体" w:hAnsi="宋体"/>
                <w:szCs w:val="21"/>
              </w:rPr>
              <w:t>保值增值</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投资策略</w:t>
            </w:r>
          </w:p>
        </w:tc>
        <w:tc>
          <w:tcPr>
            <w:tcW w:w="2500" w:type="pct"/>
          </w:tcPr>
          <w:p>
            <w:pPr>
              <w:rPr>
                <w:rFonts w:ascii="宋体" w:hAnsi="宋体"/>
              </w:rPr>
            </w:pPr>
            <w:r>
              <w:rPr>
                <w:rFonts w:hint="eastAsia" w:ascii="宋体" w:hAnsi="宋体"/>
                <w:szCs w:val="21"/>
              </w:rPr>
              <w:t>本资产管理计划主策略以定量和定性相结合的方式选择和组合子基金，通过多策略分散投资，在严格控制风险的情况下，实现FOF产品的稳健增值。本计划以投资期货和期权策略私募为主。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业绩比较基准（如有）</w:t>
            </w:r>
          </w:p>
        </w:tc>
        <w:tc>
          <w:tcPr>
            <w:tcW w:w="2500" w:type="pct"/>
          </w:tcPr>
          <w:p>
            <w:pPr>
              <w:rPr>
                <w:rFonts w:ascii="宋体" w:hAnsi="宋体"/>
              </w:rPr>
            </w:pPr>
            <w:r>
              <w:rPr>
                <w:rFonts w:hint="eastAsia" w:ascii="宋体" w:hAnsi="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风险收益特征</w:t>
            </w:r>
          </w:p>
        </w:tc>
        <w:tc>
          <w:tcPr>
            <w:tcW w:w="2500" w:type="pct"/>
          </w:tcPr>
          <w:p>
            <w:pPr>
              <w:rPr>
                <w:rFonts w:ascii="宋体" w:hAnsi="宋体"/>
              </w:rPr>
            </w:pPr>
            <w:r>
              <w:rPr>
                <w:rFonts w:hint="eastAsia" w:ascii="宋体" w:hAnsi="宋体"/>
                <w:szCs w:val="21"/>
              </w:rPr>
              <w:t>资产管理计划的风险收益级别：R4中高风险，适合专业投资者和风险承受能力为C4、C5的普通投资者，并符合期货公司资产管理业务合格投资者相关标准。</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基金管理人和基金托管人</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173"/>
        <w:gridCol w:w="3136"/>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vAlign w:val="center"/>
          </w:tcPr>
          <w:p>
            <w:pPr>
              <w:jc w:val="center"/>
              <w:rPr>
                <w:rFonts w:ascii="宋体" w:hAnsi="宋体"/>
                <w:b/>
                <w:szCs w:val="21"/>
              </w:rPr>
            </w:pPr>
            <w:r>
              <w:rPr>
                <w:rFonts w:hint="eastAsia" w:ascii="宋体" w:hAnsi="宋体"/>
                <w:b/>
                <w:szCs w:val="21"/>
              </w:rPr>
              <w:t>项目</w:t>
            </w:r>
          </w:p>
        </w:tc>
        <w:tc>
          <w:tcPr>
            <w:tcW w:w="1840" w:type="pct"/>
            <w:vAlign w:val="center"/>
          </w:tcPr>
          <w:p>
            <w:pPr>
              <w:jc w:val="center"/>
              <w:rPr>
                <w:rFonts w:ascii="宋体" w:hAnsi="宋体"/>
                <w:b/>
                <w:szCs w:val="21"/>
              </w:rPr>
            </w:pPr>
            <w:r>
              <w:rPr>
                <w:rFonts w:hint="eastAsia" w:ascii="宋体" w:hAnsi="宋体"/>
                <w:b/>
                <w:szCs w:val="21"/>
              </w:rPr>
              <w:t>基金管理人</w:t>
            </w:r>
          </w:p>
        </w:tc>
        <w:tc>
          <w:tcPr>
            <w:tcW w:w="1848" w:type="pct"/>
            <w:vAlign w:val="center"/>
          </w:tcPr>
          <w:p>
            <w:pPr>
              <w:jc w:val="center"/>
              <w:rPr>
                <w:rFonts w:ascii="宋体" w:hAnsi="宋体"/>
                <w:b/>
                <w:szCs w:val="21"/>
              </w:rPr>
            </w:pPr>
            <w:r>
              <w:rPr>
                <w:rFonts w:hint="eastAsia" w:ascii="宋体" w:hAnsi="宋体"/>
                <w:b/>
                <w:szCs w:val="21"/>
              </w:rP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名称</w:t>
            </w:r>
          </w:p>
        </w:tc>
        <w:tc>
          <w:tcPr>
            <w:tcW w:w="1840" w:type="pct"/>
          </w:tcPr>
          <w:p>
            <w:pPr>
              <w:rPr>
                <w:rFonts w:ascii="宋体" w:hAnsi="宋体"/>
              </w:rPr>
            </w:pPr>
            <w:r>
              <w:rPr>
                <w:rFonts w:ascii="宋体" w:hAnsi="宋体"/>
              </w:rPr>
              <w:t>兴证期货有限公司</w:t>
            </w:r>
          </w:p>
        </w:tc>
        <w:tc>
          <w:tcPr>
            <w:tcW w:w="1848"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restart"/>
            <w:vAlign w:val="center"/>
          </w:tcPr>
          <w:p>
            <w:pPr>
              <w:jc w:val="center"/>
              <w:rPr>
                <w:rFonts w:ascii="宋体" w:hAnsi="宋体"/>
                <w:szCs w:val="21"/>
              </w:rPr>
            </w:pPr>
            <w:r>
              <w:rPr>
                <w:rFonts w:hint="eastAsia" w:ascii="宋体" w:hAnsi="宋体"/>
                <w:szCs w:val="21"/>
              </w:rPr>
              <w:t>信息披露负责人</w:t>
            </w:r>
          </w:p>
        </w:tc>
        <w:tc>
          <w:tcPr>
            <w:tcW w:w="688" w:type="pct"/>
          </w:tcPr>
          <w:p>
            <w:pPr>
              <w:rPr>
                <w:rFonts w:ascii="宋体" w:hAnsi="宋体"/>
                <w:szCs w:val="21"/>
              </w:rPr>
            </w:pPr>
            <w:r>
              <w:rPr>
                <w:rFonts w:hint="eastAsia" w:ascii="宋体" w:hAnsi="宋体"/>
                <w:szCs w:val="21"/>
              </w:rPr>
              <w:t>姓名</w:t>
            </w:r>
          </w:p>
        </w:tc>
        <w:tc>
          <w:tcPr>
            <w:tcW w:w="1840" w:type="pct"/>
          </w:tcPr>
          <w:p>
            <w:pPr>
              <w:rPr>
                <w:rFonts w:ascii="宋体" w:hAnsi="宋体"/>
              </w:rPr>
            </w:pPr>
            <w:r>
              <w:rPr>
                <w:rFonts w:hint="eastAsia" w:ascii="宋体" w:hAnsi="宋体"/>
                <w:lang w:val="en-US" w:eastAsia="zh-CN"/>
              </w:rPr>
              <w:t>孙雯</w:t>
            </w:r>
          </w:p>
        </w:tc>
        <w:tc>
          <w:tcPr>
            <w:tcW w:w="1848" w:type="pct"/>
          </w:tcPr>
          <w:p>
            <w:pPr>
              <w:rPr>
                <w:rFonts w:ascii="宋体" w:hAnsi="宋体"/>
              </w:rPr>
            </w:pPr>
            <w:r>
              <w:rPr>
                <w:rFonts w:ascii="宋体" w:hAnsi="宋体"/>
              </w:rPr>
              <w:t>刘东海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联系电话</w:t>
            </w:r>
          </w:p>
        </w:tc>
        <w:tc>
          <w:tcPr>
            <w:tcW w:w="1840" w:type="pct"/>
          </w:tcPr>
          <w:p>
            <w:pPr>
              <w:rPr>
                <w:rFonts w:ascii="宋体" w:hAnsi="宋体"/>
              </w:rPr>
            </w:pPr>
            <w:r>
              <w:rPr>
                <w:rFonts w:hint="eastAsia" w:ascii="宋体" w:hAnsi="宋体"/>
                <w:lang w:val="en-US" w:eastAsia="zh-CN"/>
              </w:rPr>
              <w:t>021-20370952</w:t>
            </w:r>
          </w:p>
        </w:tc>
        <w:tc>
          <w:tcPr>
            <w:tcW w:w="1848" w:type="pct"/>
          </w:tcPr>
          <w:p>
            <w:pPr>
              <w:rPr>
                <w:rFonts w:ascii="宋体" w:hAnsi="宋体"/>
              </w:rPr>
            </w:pPr>
            <w:r>
              <w:rPr>
                <w:rFonts w:ascii="宋体" w:hAnsi="宋体"/>
              </w:rPr>
              <w:t>021-53530913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电子邮箱</w:t>
            </w:r>
          </w:p>
        </w:tc>
        <w:tc>
          <w:tcPr>
            <w:tcW w:w="1840" w:type="pct"/>
          </w:tcPr>
          <w:p>
            <w:pPr>
              <w:rPr>
                <w:rFonts w:ascii="宋体" w:hAnsi="宋体"/>
              </w:rPr>
            </w:pPr>
            <w:r>
              <w:rPr>
                <w:rFonts w:hint="eastAsia" w:ascii="宋体" w:hAnsi="宋体"/>
                <w:lang w:val="en-US" w:eastAsia="zh-CN"/>
              </w:rPr>
              <w:t>sunwen@xzfutures.com</w:t>
            </w:r>
          </w:p>
        </w:tc>
        <w:tc>
          <w:tcPr>
            <w:tcW w:w="1848" w:type="pct"/>
          </w:tcPr>
          <w:p>
            <w:pPr>
              <w:rPr>
                <w:rFonts w:ascii="宋体" w:hAnsi="宋体"/>
              </w:rPr>
            </w:pPr>
            <w:r>
              <w:rPr>
                <w:rFonts w:ascii="宋体" w:hAnsi="宋体"/>
              </w:rPr>
              <w:t>liudonghai@orientsec.com.cn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传真</w:t>
            </w:r>
          </w:p>
        </w:tc>
        <w:tc>
          <w:tcPr>
            <w:tcW w:w="1840" w:type="pct"/>
          </w:tcPr>
          <w:p>
            <w:pPr>
              <w:rPr>
                <w:rFonts w:hint="eastAsia" w:ascii="宋体" w:hAnsi="宋体" w:eastAsia="宋体"/>
                <w:lang w:eastAsia="zh-CN"/>
              </w:rPr>
            </w:pPr>
            <w:r>
              <w:rPr>
                <w:rFonts w:hint="eastAsia" w:ascii="宋体" w:hAnsi="宋体"/>
                <w:lang w:val="en-US" w:eastAsia="zh-CN"/>
              </w:rPr>
              <w:t>无</w:t>
            </w:r>
          </w:p>
        </w:tc>
        <w:tc>
          <w:tcPr>
            <w:tcW w:w="1848" w:type="pct"/>
          </w:tcPr>
          <w:p>
            <w:pPr>
              <w:rPr>
                <w:rFonts w:ascii="宋体" w:hAnsi="宋体"/>
              </w:rPr>
            </w:pPr>
            <w:r>
              <w:rPr>
                <w:rFonts w:ascii="宋体" w:hAnsi="宋体"/>
              </w:rPr>
              <w:t>021-63320039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注册地址</w:t>
            </w:r>
          </w:p>
        </w:tc>
        <w:tc>
          <w:tcPr>
            <w:tcW w:w="1840" w:type="pct"/>
          </w:tcPr>
          <w:p>
            <w:pPr>
              <w:rPr>
                <w:rFonts w:ascii="宋体" w:hAnsi="宋体"/>
              </w:rPr>
            </w:pPr>
            <w:r>
              <w:rPr>
                <w:rFonts w:ascii="宋体" w:hAnsi="宋体"/>
              </w:rPr>
              <w:t>福建省福州市鼓楼区温泉街道湖东路268号6层兴业证券大厦</w:t>
            </w:r>
          </w:p>
        </w:tc>
        <w:tc>
          <w:tcPr>
            <w:tcW w:w="1848" w:type="pct"/>
          </w:tcPr>
          <w:p>
            <w:pPr>
              <w:rPr>
                <w:rFonts w:ascii="宋体" w:hAnsi="宋体"/>
              </w:rPr>
            </w:pPr>
            <w:r>
              <w:rPr>
                <w:rFonts w:ascii="宋体" w:hAnsi="宋体"/>
              </w:rPr>
              <w:t>上海市中山南路318号2号楼22层、23层、25-29层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办公地址</w:t>
            </w:r>
          </w:p>
        </w:tc>
        <w:tc>
          <w:tcPr>
            <w:tcW w:w="1840" w:type="pct"/>
          </w:tcPr>
          <w:p>
            <w:pPr>
              <w:rPr>
                <w:rFonts w:ascii="宋体" w:hAnsi="宋体"/>
              </w:rPr>
            </w:pPr>
            <w:r>
              <w:rPr>
                <w:rFonts w:ascii="宋体" w:hAnsi="宋体"/>
              </w:rPr>
              <w:t>上海市浦东新区长柳路36号兴业证券大厦8楼</w:t>
            </w:r>
          </w:p>
        </w:tc>
        <w:tc>
          <w:tcPr>
            <w:tcW w:w="1848" w:type="pct"/>
          </w:tcPr>
          <w:p>
            <w:pPr>
              <w:rPr>
                <w:rFonts w:ascii="宋体" w:hAnsi="宋体"/>
              </w:rPr>
            </w:pPr>
            <w:r>
              <w:rPr>
                <w:rFonts w:ascii="宋体" w:hAnsi="宋体"/>
              </w:rPr>
              <w:t>上海市中山南路318号2号楼3楼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邮政编码</w:t>
            </w:r>
          </w:p>
        </w:tc>
        <w:tc>
          <w:tcPr>
            <w:tcW w:w="1840" w:type="pct"/>
          </w:tcPr>
          <w:p>
            <w:pPr>
              <w:rPr>
                <w:rFonts w:ascii="宋体" w:hAnsi="宋体"/>
              </w:rPr>
            </w:pPr>
            <w:r>
              <w:rPr>
                <w:rFonts w:hint="eastAsia" w:ascii="宋体" w:hAnsi="宋体"/>
                <w:lang w:val="en-US" w:eastAsia="zh-CN"/>
              </w:rPr>
              <w:t>200001</w:t>
            </w:r>
          </w:p>
        </w:tc>
        <w:tc>
          <w:tcPr>
            <w:tcW w:w="1848" w:type="pct"/>
          </w:tcPr>
          <w:p>
            <w:pPr>
              <w:rPr>
                <w:rFonts w:ascii="宋体" w:hAnsi="宋体"/>
              </w:rPr>
            </w:pPr>
            <w:r>
              <w:rPr>
                <w:rFonts w:ascii="宋体" w:hAnsi="宋体"/>
              </w:rPr>
              <w:t>200010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法定代表人</w:t>
            </w:r>
          </w:p>
        </w:tc>
        <w:tc>
          <w:tcPr>
            <w:tcW w:w="1840" w:type="pct"/>
          </w:tcPr>
          <w:p>
            <w:pPr>
              <w:rPr>
                <w:rFonts w:ascii="宋体" w:hAnsi="宋体"/>
              </w:rPr>
            </w:pPr>
            <w:r>
              <w:rPr>
                <w:rFonts w:hint="eastAsia" w:ascii="宋体" w:hAnsi="宋体"/>
                <w:lang w:val="en-US" w:eastAsia="zh-CN"/>
              </w:rPr>
              <w:t>周峰</w:t>
            </w:r>
          </w:p>
        </w:tc>
        <w:tc>
          <w:tcPr>
            <w:tcW w:w="1848" w:type="pct"/>
          </w:tcPr>
          <w:p>
            <w:pPr>
              <w:rPr>
                <w:rFonts w:ascii="宋体" w:hAnsi="宋体"/>
              </w:rPr>
            </w:pPr>
            <w:r>
              <w:rPr>
                <w:rFonts w:ascii="宋体" w:hAnsi="宋体"/>
              </w:rPr>
              <w:t>金文忠</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信息披露方式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8" w:lineRule="auto"/>
              <w:ind w:firstLine="420" w:firstLineChars="200"/>
              <w:contextualSpacing/>
              <w:rPr>
                <w:szCs w:val="21"/>
              </w:rPr>
            </w:pPr>
            <w:r>
              <w:rPr>
                <w:szCs w:val="21"/>
              </w:rPr>
              <w:t>资产管理人向资产委托人提供的报告，将严格按照《资管细则》及其他有关规定通过以下至少一种方式进行。资产委托人信息查询将通过以下至少一种中国证监会允许的、本合同约定的方式进行。</w:t>
            </w:r>
          </w:p>
          <w:p>
            <w:pPr>
              <w:spacing w:line="348" w:lineRule="auto"/>
              <w:ind w:firstLine="420" w:firstLineChars="200"/>
              <w:contextualSpacing/>
              <w:rPr>
                <w:szCs w:val="21"/>
              </w:rPr>
            </w:pPr>
            <w:r>
              <w:rPr>
                <w:szCs w:val="21"/>
              </w:rPr>
              <w:t>（1）网站</w:t>
            </w:r>
          </w:p>
          <w:p>
            <w:pPr>
              <w:spacing w:line="348" w:lineRule="auto"/>
              <w:ind w:firstLine="420" w:firstLineChars="200"/>
              <w:contextualSpacing/>
              <w:rPr>
                <w:szCs w:val="21"/>
              </w:rPr>
            </w:pPr>
            <w:r>
              <w:rPr>
                <w:szCs w:val="21"/>
              </w:rPr>
              <w:t>定期报告、临时报告等有关本资产管理计划的信息将在资产管理人网站上披露，资产委托人可登录后随时查阅并及时关注资产管理人相关更新。</w:t>
            </w:r>
          </w:p>
          <w:p>
            <w:pPr>
              <w:spacing w:line="348" w:lineRule="auto"/>
              <w:ind w:firstLine="420" w:firstLineChars="200"/>
              <w:contextualSpacing/>
              <w:rPr>
                <w:szCs w:val="21"/>
              </w:rPr>
            </w:pPr>
            <w:r>
              <w:rPr>
                <w:szCs w:val="21"/>
              </w:rPr>
              <w:t>资产管理人网站：www.xzfutures.com</w:t>
            </w:r>
            <w:r>
              <w:t xml:space="preserve"> </w:t>
            </w:r>
          </w:p>
          <w:p>
            <w:pPr>
              <w:spacing w:line="348" w:lineRule="auto"/>
              <w:ind w:firstLine="420" w:firstLineChars="200"/>
              <w:contextualSpacing/>
              <w:rPr>
                <w:szCs w:val="21"/>
              </w:rPr>
            </w:pPr>
            <w:r>
              <w:rPr>
                <w:szCs w:val="21"/>
              </w:rPr>
              <w:t>（2）邮寄服务</w:t>
            </w:r>
          </w:p>
          <w:p>
            <w:pPr>
              <w:spacing w:line="348" w:lineRule="auto"/>
              <w:ind w:firstLine="420" w:firstLineChars="200"/>
              <w:contextualSpacing/>
              <w:rPr>
                <w:szCs w:val="21"/>
              </w:rPr>
            </w:pPr>
            <w:r>
              <w:rPr>
                <w:szCs w:val="21"/>
              </w:rPr>
              <w:t>资产管理人向资产委托人邮寄定期报告、临时报告等有关本计划的信息。资产委托人在合同签署页上填写的通信地址为送达地址。通信地址如有变更，资产委托人应当及时通知资产管理人。</w:t>
            </w:r>
          </w:p>
          <w:p>
            <w:pPr>
              <w:spacing w:line="348" w:lineRule="auto"/>
              <w:ind w:firstLine="420" w:firstLineChars="200"/>
              <w:contextualSpacing/>
              <w:rPr>
                <w:szCs w:val="21"/>
              </w:rPr>
            </w:pPr>
            <w:r>
              <w:rPr>
                <w:szCs w:val="21"/>
              </w:rPr>
              <w:t>（3）传真或电子邮件</w:t>
            </w:r>
          </w:p>
          <w:p>
            <w:pPr>
              <w:spacing w:line="348" w:lineRule="auto"/>
              <w:ind w:firstLine="420" w:firstLineChars="200"/>
              <w:contextualSpacing/>
              <w:rPr>
                <w:rFonts w:ascii="宋体" w:hAnsi="宋体"/>
                <w:szCs w:val="21"/>
              </w:rPr>
            </w:pPr>
            <w:r>
              <w:rPr>
                <w:szCs w:val="21"/>
              </w:rPr>
              <w:t>如资产委托人留有传真号、电子邮箱等联系方式的，资产管理人也可通过传真、电子邮件、电报等方式将报告信息通知资产委托人。</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其他相关资料</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vAlign w:val="center"/>
          </w:tcPr>
          <w:p>
            <w:pPr>
              <w:jc w:val="center"/>
              <w:rPr>
                <w:rFonts w:ascii="宋体" w:hAnsi="宋体"/>
                <w:b/>
                <w:szCs w:val="21"/>
              </w:rPr>
            </w:pPr>
            <w:r>
              <w:rPr>
                <w:rFonts w:hint="eastAsia" w:ascii="宋体" w:hAnsi="宋体"/>
                <w:b/>
                <w:szCs w:val="21"/>
              </w:rPr>
              <w:t>项目</w:t>
            </w:r>
          </w:p>
        </w:tc>
        <w:tc>
          <w:tcPr>
            <w:tcW w:w="1666" w:type="pct"/>
            <w:vAlign w:val="center"/>
          </w:tcPr>
          <w:p>
            <w:pPr>
              <w:jc w:val="center"/>
              <w:rPr>
                <w:rFonts w:ascii="宋体" w:hAnsi="宋体"/>
                <w:b/>
                <w:szCs w:val="21"/>
              </w:rPr>
            </w:pPr>
            <w:r>
              <w:rPr>
                <w:rFonts w:hint="eastAsia" w:ascii="宋体" w:hAnsi="宋体"/>
                <w:b/>
                <w:szCs w:val="21"/>
              </w:rPr>
              <w:t>名称</w:t>
            </w:r>
          </w:p>
        </w:tc>
        <w:tc>
          <w:tcPr>
            <w:tcW w:w="1666" w:type="pct"/>
            <w:vAlign w:val="center"/>
          </w:tcPr>
          <w:p>
            <w:pPr>
              <w:jc w:val="center"/>
              <w:rPr>
                <w:rFonts w:ascii="宋体" w:hAnsi="宋体"/>
                <w:b/>
                <w:szCs w:val="21"/>
              </w:rPr>
            </w:pPr>
            <w:r>
              <w:rPr>
                <w:rFonts w:hint="eastAsia" w:ascii="宋体" w:hAnsi="宋体"/>
                <w:b/>
                <w:szCs w:val="21"/>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会计师事务所</w:t>
            </w:r>
          </w:p>
        </w:tc>
        <w:tc>
          <w:tcPr>
            <w:tcW w:w="1666" w:type="pct"/>
          </w:tcPr>
          <w:p>
            <w:pPr>
              <w:rPr>
                <w:rFonts w:ascii="宋体" w:hAnsi="宋体"/>
                <w:szCs w:val="21"/>
              </w:rPr>
            </w:pPr>
            <w:r>
              <w:rPr>
                <w:rFonts w:hint="eastAsia" w:ascii="宋体" w:hAnsi="宋体"/>
                <w:szCs w:val="21"/>
                <w:lang w:val="en-US" w:eastAsia="zh-CN"/>
              </w:rPr>
              <w:t>无</w:t>
            </w:r>
          </w:p>
        </w:tc>
        <w:tc>
          <w:tcPr>
            <w:tcW w:w="1666" w:type="pct"/>
          </w:tcPr>
          <w:p>
            <w:pPr>
              <w:rPr>
                <w:rFonts w:ascii="宋体" w:hAnsi="宋体"/>
                <w:szCs w:val="21"/>
              </w:rPr>
            </w:pPr>
            <w:r>
              <w:rPr>
                <w:rFonts w:hint="eastAsia" w:ascii="宋体" w:hAnsi="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注册登记机构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上海市黄浦区中山南路318号2号楼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外包机构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上海市黄浦区中山南路318号2号楼</w:t>
            </w:r>
          </w:p>
        </w:tc>
      </w:tr>
    </w:tbl>
    <w:p>
      <w:pPr>
        <w:rPr>
          <w:rFonts w:ascii="宋体" w:hAnsi="宋体"/>
          <w:b/>
          <w:szCs w:val="21"/>
        </w:rPr>
      </w:pPr>
    </w:p>
    <w:p>
      <w:pPr>
        <w:pStyle w:val="2"/>
        <w:numPr>
          <w:ilvl w:val="0"/>
          <w:numId w:val="1"/>
        </w:numPr>
        <w:rPr>
          <w:rFonts w:ascii="宋体" w:hAnsi="宋体"/>
          <w:b w:val="0"/>
          <w:szCs w:val="21"/>
        </w:rPr>
      </w:pPr>
      <w:bookmarkStart w:id="1" w:name="_Toc445130138"/>
      <w:r>
        <w:rPr>
          <w:rFonts w:hint="eastAsia" w:ascii="宋体" w:hAnsi="宋体"/>
          <w:szCs w:val="21"/>
        </w:rPr>
        <w:t>主要</w:t>
      </w:r>
      <w:r>
        <w:rPr>
          <w:rFonts w:hint="eastAsia" w:ascii="宋体" w:hAnsi="宋体"/>
        </w:rPr>
        <w:t>财务</w:t>
      </w:r>
      <w:r>
        <w:rPr>
          <w:rFonts w:hint="eastAsia" w:ascii="宋体" w:hAnsi="宋体"/>
          <w:szCs w:val="21"/>
        </w:rPr>
        <w:t>指标、基金净值表现及利润分配情况</w:t>
      </w:r>
      <w:bookmarkEnd w:id="1"/>
    </w:p>
    <w:p>
      <w:pPr>
        <w:pStyle w:val="27"/>
        <w:numPr>
          <w:ilvl w:val="0"/>
          <w:numId w:val="3"/>
        </w:numPr>
        <w:ind w:firstLineChars="0"/>
        <w:outlineLvl w:val="1"/>
        <w:rPr>
          <w:rFonts w:ascii="宋体" w:hAnsi="宋体"/>
          <w:szCs w:val="21"/>
        </w:rPr>
      </w:pPr>
      <w:r>
        <w:rPr>
          <w:rFonts w:hint="eastAsia" w:ascii="宋体" w:hAnsi="宋体"/>
          <w:szCs w:val="21"/>
        </w:rPr>
        <w:t>主要会计数据和财务指标</w:t>
      </w:r>
    </w:p>
    <w:p>
      <w:pPr>
        <w:pStyle w:val="27"/>
        <w:ind w:left="425" w:right="210" w:firstLine="0" w:firstLineChars="0"/>
        <w:jc w:val="right"/>
      </w:pPr>
      <w:r>
        <w:rPr>
          <w:rFonts w:hint="eastAsia"/>
          <w:b/>
          <w:color w:val="FF0000"/>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4"/>
        <w:gridCol w:w="1891"/>
        <w:gridCol w:w="186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期间数据和指标</w:t>
            </w:r>
          </w:p>
        </w:tc>
        <w:tc>
          <w:tcPr>
            <w:tcW w:w="1109" w:type="pct"/>
            <w:vAlign w:val="center"/>
          </w:tcPr>
          <w:p>
            <w:pPr>
              <w:jc w:val="center"/>
              <w:rPr>
                <w:rFonts w:ascii="宋体" w:hAnsi="宋体"/>
                <w:szCs w:val="21"/>
              </w:rPr>
            </w:pPr>
            <w:r>
              <w:rPr>
                <w:rFonts w:hint="eastAsia" w:ascii="宋体" w:hAnsi="宋体"/>
                <w:szCs w:val="21"/>
              </w:rPr>
              <w:t>2023年</w:t>
            </w:r>
          </w:p>
        </w:tc>
        <w:tc>
          <w:tcPr>
            <w:tcW w:w="1091" w:type="pct"/>
            <w:vAlign w:val="center"/>
          </w:tcPr>
          <w:p>
            <w:pPr>
              <w:jc w:val="center"/>
              <w:rPr>
                <w:rFonts w:ascii="宋体" w:hAnsi="宋体"/>
                <w:szCs w:val="21"/>
              </w:rPr>
            </w:pPr>
            <w:r>
              <w:rPr>
                <w:rFonts w:hint="eastAsia" w:ascii="宋体" w:hAnsi="宋体"/>
                <w:szCs w:val="21"/>
              </w:rPr>
              <w:t>2022年</w:t>
            </w:r>
          </w:p>
        </w:tc>
        <w:tc>
          <w:tcPr>
            <w:tcW w:w="1101" w:type="pct"/>
            <w:vAlign w:val="center"/>
          </w:tcPr>
          <w:p>
            <w:pPr>
              <w:jc w:val="center"/>
              <w:rPr>
                <w:rFonts w:ascii="宋体" w:hAnsi="宋体"/>
                <w:szCs w:val="21"/>
              </w:rPr>
            </w:pPr>
            <w:r>
              <w:rPr>
                <w:rFonts w:hint="eastAsia" w:ascii="宋体" w:hAnsi="宋体"/>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本期已实现收益</w:t>
            </w:r>
          </w:p>
        </w:tc>
        <w:tc>
          <w:tcPr>
            <w:tcW w:w="1109" w:type="pct"/>
            <w:vAlign w:val="center"/>
          </w:tcPr>
          <w:p>
            <w:pPr>
              <w:jc w:val="right"/>
              <w:rPr>
                <w:rFonts w:ascii="宋体" w:hAnsi="宋体"/>
                <w:szCs w:val="21"/>
              </w:rPr>
            </w:pPr>
            <w:r>
              <w:rPr>
                <w:rFonts w:ascii="宋体" w:hAnsi="宋体"/>
                <w:szCs w:val="21"/>
              </w:rPr>
              <w:t>-462,209.08</w:t>
            </w:r>
          </w:p>
        </w:tc>
        <w:tc>
          <w:tcPr>
            <w:tcW w:w="1091" w:type="pct"/>
            <w:vAlign w:val="center"/>
          </w:tcPr>
          <w:p>
            <w:pPr>
              <w:jc w:val="right"/>
              <w:rPr>
                <w:rFonts w:ascii="宋体" w:hAnsi="宋体"/>
                <w:szCs w:val="21"/>
              </w:rPr>
            </w:pPr>
            <w:r>
              <w:rPr>
                <w:rFonts w:ascii="宋体" w:hAnsi="宋体"/>
                <w:szCs w:val="21"/>
              </w:rPr>
              <w:t>-828,206.69</w:t>
            </w:r>
          </w:p>
        </w:tc>
        <w:tc>
          <w:tcPr>
            <w:tcW w:w="1101" w:type="pct"/>
            <w:vAlign w:val="center"/>
          </w:tcPr>
          <w:p>
            <w:pPr>
              <w:jc w:val="right"/>
              <w:rPr>
                <w:rFonts w:ascii="宋体" w:hAnsi="宋体"/>
                <w:szCs w:val="21"/>
              </w:rPr>
            </w:pPr>
            <w:r>
              <w:rPr>
                <w:rFonts w:ascii="宋体" w:hAnsi="宋体"/>
                <w:szCs w:val="21"/>
              </w:rPr>
              <w:t>165,929.04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本期利润</w:t>
            </w:r>
          </w:p>
        </w:tc>
        <w:tc>
          <w:tcPr>
            <w:tcW w:w="1109" w:type="pct"/>
            <w:vAlign w:val="center"/>
          </w:tcPr>
          <w:p>
            <w:pPr>
              <w:jc w:val="right"/>
              <w:rPr>
                <w:rFonts w:ascii="宋体" w:hAnsi="宋体"/>
                <w:szCs w:val="21"/>
              </w:rPr>
            </w:pPr>
            <w:r>
              <w:rPr>
                <w:rFonts w:ascii="宋体" w:hAnsi="宋体"/>
                <w:szCs w:val="21"/>
              </w:rPr>
              <w:t>-266,211.69</w:t>
            </w:r>
          </w:p>
        </w:tc>
        <w:tc>
          <w:tcPr>
            <w:tcW w:w="1091" w:type="pct"/>
            <w:vAlign w:val="center"/>
          </w:tcPr>
          <w:p>
            <w:pPr>
              <w:jc w:val="right"/>
              <w:rPr>
                <w:rFonts w:ascii="宋体" w:hAnsi="宋体"/>
                <w:szCs w:val="21"/>
              </w:rPr>
            </w:pPr>
            <w:r>
              <w:rPr>
                <w:rFonts w:ascii="宋体" w:hAnsi="宋体"/>
                <w:szCs w:val="21"/>
              </w:rPr>
              <w:t>-1,120,879.28</w:t>
            </w:r>
          </w:p>
        </w:tc>
        <w:tc>
          <w:tcPr>
            <w:tcW w:w="1101" w:type="pct"/>
            <w:vAlign w:val="center"/>
          </w:tcPr>
          <w:p>
            <w:pPr>
              <w:jc w:val="right"/>
              <w:rPr>
                <w:rFonts w:ascii="宋体" w:hAnsi="宋体"/>
                <w:szCs w:val="21"/>
              </w:rPr>
            </w:pPr>
            <w:r>
              <w:rPr>
                <w:rFonts w:ascii="宋体" w:hAnsi="宋体"/>
                <w:szCs w:val="21"/>
              </w:rPr>
              <w:t>201,547.87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期末数据和指标</w:t>
            </w:r>
          </w:p>
        </w:tc>
        <w:tc>
          <w:tcPr>
            <w:tcW w:w="1109" w:type="pct"/>
            <w:vAlign w:val="center"/>
          </w:tcPr>
          <w:p>
            <w:pPr>
              <w:jc w:val="center"/>
              <w:rPr>
                <w:rFonts w:ascii="宋体" w:hAnsi="宋体"/>
                <w:szCs w:val="21"/>
              </w:rPr>
            </w:pPr>
            <w:r>
              <w:rPr>
                <w:rFonts w:hint="eastAsia" w:ascii="宋体" w:hAnsi="宋体"/>
                <w:szCs w:val="21"/>
              </w:rPr>
              <w:t>2023年末</w:t>
            </w:r>
          </w:p>
        </w:tc>
        <w:tc>
          <w:tcPr>
            <w:tcW w:w="1091" w:type="pct"/>
            <w:vAlign w:val="center"/>
          </w:tcPr>
          <w:p>
            <w:pPr>
              <w:jc w:val="center"/>
              <w:rPr>
                <w:rFonts w:ascii="宋体" w:hAnsi="宋体"/>
                <w:szCs w:val="21"/>
              </w:rPr>
            </w:pPr>
            <w:r>
              <w:rPr>
                <w:rFonts w:hint="eastAsia" w:ascii="宋体" w:hAnsi="宋体"/>
                <w:szCs w:val="21"/>
              </w:rPr>
              <w:t>2022年末</w:t>
            </w:r>
          </w:p>
        </w:tc>
        <w:tc>
          <w:tcPr>
            <w:tcW w:w="1101" w:type="pct"/>
            <w:vAlign w:val="center"/>
          </w:tcPr>
          <w:p>
            <w:pPr>
              <w:jc w:val="center"/>
              <w:rPr>
                <w:rFonts w:ascii="宋体" w:hAnsi="宋体"/>
                <w:szCs w:val="21"/>
              </w:rPr>
            </w:pPr>
            <w:r>
              <w:rPr>
                <w:rFonts w:hint="eastAsia" w:ascii="宋体" w:hAnsi="宋体"/>
                <w:szCs w:val="21"/>
              </w:rP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期末可供分配利润</w:t>
            </w:r>
          </w:p>
        </w:tc>
        <w:tc>
          <w:tcPr>
            <w:tcW w:w="1109" w:type="pct"/>
            <w:vAlign w:val="center"/>
          </w:tcPr>
          <w:p>
            <w:pPr>
              <w:jc w:val="right"/>
              <w:rPr>
                <w:rFonts w:ascii="宋体" w:hAnsi="宋体"/>
                <w:szCs w:val="21"/>
              </w:rPr>
            </w:pPr>
            <w:r>
              <w:rPr>
                <w:rFonts w:ascii="宋体" w:hAnsi="宋体"/>
                <w:szCs w:val="21"/>
              </w:rPr>
              <w:t>-507,061.67</w:t>
            </w:r>
          </w:p>
        </w:tc>
        <w:tc>
          <w:tcPr>
            <w:tcW w:w="1091" w:type="pct"/>
            <w:vAlign w:val="center"/>
          </w:tcPr>
          <w:p>
            <w:pPr>
              <w:jc w:val="right"/>
              <w:rPr>
                <w:rFonts w:ascii="宋体" w:hAnsi="宋体"/>
                <w:szCs w:val="21"/>
              </w:rPr>
            </w:pPr>
            <w:r>
              <w:rPr>
                <w:rFonts w:ascii="宋体" w:hAnsi="宋体"/>
                <w:szCs w:val="21"/>
              </w:rPr>
              <w:t>-594,804.64</w:t>
            </w:r>
          </w:p>
        </w:tc>
        <w:tc>
          <w:tcPr>
            <w:tcW w:w="1101" w:type="pct"/>
            <w:vAlign w:val="center"/>
          </w:tcPr>
          <w:p>
            <w:pPr>
              <w:jc w:val="right"/>
              <w:rPr>
                <w:rFonts w:ascii="宋体" w:hAnsi="宋体"/>
                <w:szCs w:val="21"/>
              </w:rPr>
            </w:pPr>
            <w:r>
              <w:rPr>
                <w:rFonts w:ascii="宋体" w:hAnsi="宋体"/>
                <w:szCs w:val="21"/>
              </w:rPr>
              <w:t>156,168.21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期末可供分配基金份额利润</w:t>
            </w:r>
          </w:p>
        </w:tc>
        <w:tc>
          <w:tcPr>
            <w:tcW w:w="1109" w:type="pct"/>
            <w:vAlign w:val="center"/>
          </w:tcPr>
          <w:p>
            <w:pPr>
              <w:jc w:val="right"/>
              <w:rPr>
                <w:rFonts w:ascii="宋体" w:hAnsi="宋体"/>
                <w:szCs w:val="21"/>
              </w:rPr>
            </w:pPr>
            <w:r>
              <w:rPr>
                <w:rFonts w:ascii="宋体" w:hAnsi="宋体"/>
                <w:szCs w:val="21"/>
              </w:rPr>
              <w:t>-0.1021</w:t>
            </w:r>
          </w:p>
        </w:tc>
        <w:tc>
          <w:tcPr>
            <w:tcW w:w="1091" w:type="pct"/>
            <w:vAlign w:val="center"/>
          </w:tcPr>
          <w:p>
            <w:pPr>
              <w:jc w:val="right"/>
              <w:rPr>
                <w:rFonts w:ascii="宋体" w:hAnsi="宋体"/>
                <w:szCs w:val="21"/>
              </w:rPr>
            </w:pPr>
            <w:r>
              <w:rPr>
                <w:rFonts w:ascii="宋体" w:hAnsi="宋体"/>
                <w:szCs w:val="21"/>
              </w:rPr>
              <w:t>-0.0555</w:t>
            </w:r>
          </w:p>
        </w:tc>
        <w:tc>
          <w:tcPr>
            <w:tcW w:w="1101" w:type="pct"/>
            <w:vAlign w:val="center"/>
          </w:tcPr>
          <w:p>
            <w:pPr>
              <w:jc w:val="right"/>
              <w:rPr>
                <w:rFonts w:ascii="宋体" w:hAnsi="宋体"/>
                <w:szCs w:val="21"/>
              </w:rPr>
            </w:pPr>
            <w:r>
              <w:rPr>
                <w:rFonts w:ascii="宋体" w:hAnsi="宋体"/>
                <w:szCs w:val="21"/>
              </w:rPr>
              <w:t>0.0071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期末基金净资产</w:t>
            </w:r>
          </w:p>
        </w:tc>
        <w:tc>
          <w:tcPr>
            <w:tcW w:w="1109" w:type="pct"/>
            <w:vAlign w:val="center"/>
          </w:tcPr>
          <w:p>
            <w:pPr>
              <w:jc w:val="right"/>
              <w:rPr>
                <w:rFonts w:ascii="宋体" w:hAnsi="宋体"/>
                <w:szCs w:val="21"/>
              </w:rPr>
            </w:pPr>
            <w:r>
              <w:rPr>
                <w:rFonts w:ascii="宋体" w:hAnsi="宋体"/>
                <w:szCs w:val="21"/>
              </w:rPr>
              <w:t>4,545,592.37</w:t>
            </w:r>
          </w:p>
        </w:tc>
        <w:tc>
          <w:tcPr>
            <w:tcW w:w="1091" w:type="pct"/>
            <w:vAlign w:val="center"/>
          </w:tcPr>
          <w:p>
            <w:pPr>
              <w:jc w:val="right"/>
              <w:rPr>
                <w:rFonts w:ascii="宋体" w:hAnsi="宋体"/>
                <w:szCs w:val="21"/>
              </w:rPr>
            </w:pPr>
            <w:r>
              <w:rPr>
                <w:rFonts w:ascii="宋体" w:hAnsi="宋体"/>
                <w:szCs w:val="21"/>
              </w:rPr>
              <w:t>10,125,122.43</w:t>
            </w:r>
          </w:p>
        </w:tc>
        <w:tc>
          <w:tcPr>
            <w:tcW w:w="1101" w:type="pct"/>
            <w:vAlign w:val="center"/>
          </w:tcPr>
          <w:p>
            <w:pPr>
              <w:jc w:val="right"/>
              <w:rPr>
                <w:rFonts w:ascii="宋体" w:hAnsi="宋体"/>
                <w:szCs w:val="21"/>
              </w:rPr>
            </w:pPr>
            <w:r>
              <w:rPr>
                <w:rFonts w:ascii="宋体" w:hAnsi="宋体"/>
                <w:szCs w:val="21"/>
              </w:rPr>
              <w:t>22,424,055.97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报告期期末单位净值</w:t>
            </w:r>
          </w:p>
        </w:tc>
        <w:tc>
          <w:tcPr>
            <w:tcW w:w="1109" w:type="pct"/>
            <w:vAlign w:val="center"/>
          </w:tcPr>
          <w:p>
            <w:pPr>
              <w:jc w:val="right"/>
              <w:rPr>
                <w:rFonts w:ascii="宋体" w:hAnsi="宋体"/>
                <w:szCs w:val="21"/>
              </w:rPr>
            </w:pPr>
            <w:r>
              <w:rPr>
                <w:rFonts w:ascii="宋体" w:hAnsi="宋体"/>
                <w:szCs w:val="21"/>
              </w:rPr>
              <w:t>0.9151</w:t>
            </w:r>
          </w:p>
        </w:tc>
        <w:tc>
          <w:tcPr>
            <w:tcW w:w="1091" w:type="pct"/>
            <w:vAlign w:val="center"/>
          </w:tcPr>
          <w:p>
            <w:pPr>
              <w:jc w:val="right"/>
              <w:rPr>
                <w:rFonts w:ascii="宋体" w:hAnsi="宋体"/>
                <w:szCs w:val="21"/>
              </w:rPr>
            </w:pPr>
            <w:r>
              <w:rPr>
                <w:rFonts w:ascii="宋体" w:hAnsi="宋体"/>
                <w:szCs w:val="21"/>
              </w:rPr>
              <w:t>0.9445</w:t>
            </w:r>
          </w:p>
        </w:tc>
        <w:tc>
          <w:tcPr>
            <w:tcW w:w="1101" w:type="pct"/>
            <w:vAlign w:val="center"/>
          </w:tcPr>
          <w:p>
            <w:pPr>
              <w:jc w:val="right"/>
              <w:rPr>
                <w:rFonts w:ascii="宋体" w:hAnsi="宋体"/>
                <w:szCs w:val="21"/>
              </w:rPr>
            </w:pPr>
            <w:r>
              <w:rPr>
                <w:rFonts w:ascii="宋体" w:hAnsi="宋体"/>
                <w:szCs w:val="21"/>
              </w:rPr>
              <w:t>1.0259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累计期末指标</w:t>
            </w:r>
          </w:p>
        </w:tc>
        <w:tc>
          <w:tcPr>
            <w:tcW w:w="1109" w:type="pct"/>
          </w:tcPr>
          <w:p>
            <w:pPr>
              <w:jc w:val="center"/>
              <w:rPr>
                <w:rFonts w:ascii="宋体" w:hAnsi="宋体"/>
                <w:szCs w:val="21"/>
              </w:rPr>
            </w:pPr>
            <w:r>
              <w:rPr>
                <w:rFonts w:hint="eastAsia" w:ascii="宋体" w:hAnsi="宋体"/>
                <w:szCs w:val="21"/>
              </w:rPr>
              <w:t>2023年末</w:t>
            </w:r>
          </w:p>
        </w:tc>
        <w:tc>
          <w:tcPr>
            <w:tcW w:w="1091" w:type="pct"/>
          </w:tcPr>
          <w:p>
            <w:pPr>
              <w:jc w:val="center"/>
              <w:rPr>
                <w:rFonts w:ascii="宋体" w:hAnsi="宋体"/>
                <w:szCs w:val="21"/>
              </w:rPr>
            </w:pPr>
            <w:r>
              <w:rPr>
                <w:rFonts w:hint="eastAsia" w:ascii="宋体" w:hAnsi="宋体"/>
                <w:szCs w:val="21"/>
              </w:rPr>
              <w:t>2022年末</w:t>
            </w:r>
          </w:p>
        </w:tc>
        <w:tc>
          <w:tcPr>
            <w:tcW w:w="1101" w:type="pct"/>
          </w:tcPr>
          <w:p>
            <w:pPr>
              <w:jc w:val="center"/>
              <w:rPr>
                <w:rFonts w:ascii="宋体" w:hAnsi="宋体"/>
                <w:szCs w:val="21"/>
              </w:rPr>
            </w:pPr>
            <w:r>
              <w:rPr>
                <w:rFonts w:hint="eastAsia" w:ascii="宋体" w:hAnsi="宋体"/>
                <w:szCs w:val="21"/>
              </w:rP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基金份额累计净值增长率（%）</w:t>
            </w:r>
          </w:p>
        </w:tc>
        <w:tc>
          <w:tcPr>
            <w:tcW w:w="1109" w:type="pct"/>
          </w:tcPr>
          <w:p>
            <w:pPr>
              <w:jc w:val="right"/>
              <w:rPr>
                <w:rFonts w:ascii="宋体" w:hAnsi="宋体"/>
                <w:szCs w:val="21"/>
              </w:rPr>
            </w:pPr>
            <w:r>
              <w:rPr>
                <w:rFonts w:ascii="宋体" w:hAnsi="宋体"/>
                <w:szCs w:val="21"/>
              </w:rPr>
              <w:t>-8.49</w:t>
            </w:r>
          </w:p>
        </w:tc>
        <w:tc>
          <w:tcPr>
            <w:tcW w:w="1091" w:type="pct"/>
          </w:tcPr>
          <w:p>
            <w:pPr>
              <w:jc w:val="right"/>
              <w:rPr>
                <w:rFonts w:ascii="宋体" w:hAnsi="宋体"/>
                <w:szCs w:val="21"/>
              </w:rPr>
            </w:pPr>
            <w:r>
              <w:rPr>
                <w:rFonts w:ascii="宋体" w:hAnsi="宋体"/>
                <w:szCs w:val="21"/>
              </w:rPr>
              <w:t>-5.55</w:t>
            </w:r>
          </w:p>
        </w:tc>
        <w:tc>
          <w:tcPr>
            <w:tcW w:w="1101" w:type="pct"/>
          </w:tcPr>
          <w:p>
            <w:pPr>
              <w:jc w:val="right"/>
              <w:rPr>
                <w:rFonts w:ascii="宋体" w:hAnsi="宋体"/>
                <w:szCs w:val="21"/>
              </w:rPr>
            </w:pPr>
            <w:r>
              <w:rPr>
                <w:rFonts w:ascii="宋体" w:hAnsi="宋体"/>
                <w:szCs w:val="21"/>
              </w:rPr>
              <w:t>2.59</w:t>
            </w:r>
          </w:p>
        </w:tc>
      </w:tr>
    </w:tbl>
    <w:p>
      <w:pPr>
        <w:rPr>
          <w:rFonts w:ascii="宋体" w:hAnsi="宋体"/>
          <w:szCs w:val="21"/>
        </w:rPr>
      </w:pPr>
    </w:p>
    <w:p>
      <w:pPr>
        <w:rPr>
          <w:rFonts w:ascii="宋体" w:hAnsi="宋体"/>
          <w:szCs w:val="21"/>
        </w:rPr>
      </w:pPr>
      <w:r>
        <w:rPr>
          <w:rFonts w:hint="eastAsia" w:ascii="宋体" w:hAnsi="宋体"/>
          <w:szCs w:val="21"/>
        </w:rPr>
        <w:fldChar w:fldCharType="begin"/>
      </w:r>
      <w:r>
        <w:rPr>
          <w:rFonts w:hint="eastAsia" w:ascii="宋体" w:hAnsi="宋体"/>
          <w:szCs w:val="21"/>
        </w:rPr>
        <w:instrText xml:space="preserve"> MACROBUTTON  SnrToggleCheckbox √无分级</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□二级 </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□三级 </w:instrText>
      </w:r>
      <w:r>
        <w:rPr>
          <w:rFonts w:hint="eastAsia" w:ascii="宋体" w:hAnsi="宋体"/>
          <w:szCs w:val="21"/>
        </w:rPr>
        <w:fldChar w:fldCharType="end"/>
      </w:r>
    </w:p>
    <w:p>
      <w:pPr>
        <w:pStyle w:val="27"/>
        <w:numPr>
          <w:ilvl w:val="0"/>
          <w:numId w:val="3"/>
        </w:numPr>
        <w:ind w:firstLineChars="0"/>
        <w:outlineLvl w:val="1"/>
        <w:rPr>
          <w:rFonts w:ascii="宋体" w:hAnsi="宋体"/>
          <w:szCs w:val="21"/>
        </w:rPr>
      </w:pPr>
      <w:r>
        <w:rPr>
          <w:rFonts w:hint="eastAsia" w:ascii="宋体" w:hAnsi="宋体"/>
          <w:szCs w:val="21"/>
        </w:rPr>
        <w:t>基金净值表现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295"/>
        <w:gridCol w:w="1986"/>
        <w:gridCol w:w="1841"/>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center"/>
              <w:rPr>
                <w:rFonts w:ascii="宋体" w:hAnsi="宋体"/>
                <w:b/>
                <w:szCs w:val="21"/>
              </w:rPr>
            </w:pPr>
            <w:r>
              <w:rPr>
                <w:rFonts w:hint="eastAsia" w:ascii="宋体" w:hAnsi="宋体"/>
                <w:b/>
                <w:szCs w:val="21"/>
              </w:rPr>
              <w:t>阶段</w:t>
            </w:r>
          </w:p>
        </w:tc>
        <w:tc>
          <w:tcPr>
            <w:tcW w:w="1295" w:type="dxa"/>
            <w:vAlign w:val="center"/>
          </w:tcPr>
          <w:p>
            <w:pPr>
              <w:jc w:val="center"/>
              <w:rPr>
                <w:rFonts w:ascii="宋体" w:hAnsi="宋体"/>
                <w:b/>
                <w:szCs w:val="21"/>
              </w:rPr>
            </w:pPr>
            <w:r>
              <w:rPr>
                <w:rFonts w:hint="eastAsia" w:ascii="宋体" w:hAnsi="宋体"/>
                <w:b/>
                <w:szCs w:val="21"/>
              </w:rPr>
              <w:t>净值增长率（%）</w:t>
            </w:r>
          </w:p>
        </w:tc>
        <w:tc>
          <w:tcPr>
            <w:tcW w:w="1986" w:type="dxa"/>
            <w:vAlign w:val="center"/>
          </w:tcPr>
          <w:p>
            <w:pPr>
              <w:jc w:val="center"/>
              <w:rPr>
                <w:rFonts w:ascii="宋体" w:hAnsi="宋体"/>
                <w:b/>
                <w:szCs w:val="21"/>
              </w:rPr>
            </w:pPr>
            <w:r>
              <w:rPr>
                <w:rFonts w:hint="eastAsia" w:ascii="宋体" w:hAnsi="宋体"/>
                <w:b/>
                <w:szCs w:val="21"/>
              </w:rPr>
              <w:t>净值增长率标准差（%）</w:t>
            </w:r>
          </w:p>
        </w:tc>
        <w:tc>
          <w:tcPr>
            <w:tcW w:w="1841" w:type="dxa"/>
            <w:vAlign w:val="center"/>
          </w:tcPr>
          <w:p>
            <w:pPr>
              <w:jc w:val="center"/>
              <w:rPr>
                <w:rFonts w:ascii="宋体" w:hAnsi="宋体"/>
                <w:b/>
                <w:szCs w:val="21"/>
              </w:rPr>
            </w:pPr>
            <w:r>
              <w:rPr>
                <w:rFonts w:hint="eastAsia" w:ascii="宋体" w:hAnsi="宋体"/>
                <w:b/>
                <w:szCs w:val="21"/>
              </w:rPr>
              <w:t>业绩比较基准收益率（%）</w:t>
            </w:r>
          </w:p>
        </w:tc>
        <w:tc>
          <w:tcPr>
            <w:tcW w:w="2035" w:type="dxa"/>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left"/>
              <w:rPr>
                <w:rFonts w:ascii="宋体" w:hAnsi="宋体"/>
                <w:szCs w:val="21"/>
              </w:rPr>
            </w:pPr>
            <w:r>
              <w:rPr>
                <w:rFonts w:hint="eastAsia" w:ascii="宋体" w:hAnsi="宋体"/>
                <w:szCs w:val="21"/>
              </w:rPr>
              <w:t>当年</w:t>
            </w:r>
          </w:p>
        </w:tc>
        <w:tc>
          <w:tcPr>
            <w:tcW w:w="1295" w:type="dxa"/>
            <w:vAlign w:val="center"/>
          </w:tcPr>
          <w:p>
            <w:pPr>
              <w:jc w:val="right"/>
              <w:rPr>
                <w:rFonts w:ascii="宋体" w:hAnsi="宋体"/>
                <w:szCs w:val="21"/>
              </w:rPr>
            </w:pPr>
            <w:r>
              <w:rPr>
                <w:rFonts w:ascii="宋体" w:hAnsi="宋体"/>
                <w:szCs w:val="21"/>
              </w:rPr>
              <w:t>-3.11</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left"/>
              <w:rPr>
                <w:rFonts w:ascii="宋体" w:hAnsi="宋体"/>
                <w:szCs w:val="21"/>
              </w:rPr>
            </w:pPr>
            <w:r>
              <w:rPr>
                <w:rFonts w:hint="eastAsia" w:ascii="宋体" w:hAnsi="宋体"/>
                <w:szCs w:val="21"/>
              </w:rPr>
              <w:t>自基金合同生效起至今</w:t>
            </w:r>
          </w:p>
        </w:tc>
        <w:tc>
          <w:tcPr>
            <w:tcW w:w="1295" w:type="dxa"/>
            <w:vAlign w:val="center"/>
          </w:tcPr>
          <w:p>
            <w:pPr>
              <w:jc w:val="right"/>
              <w:rPr>
                <w:rFonts w:ascii="宋体" w:hAnsi="宋体"/>
                <w:szCs w:val="21"/>
              </w:rPr>
            </w:pPr>
            <w:r>
              <w:rPr>
                <w:rFonts w:ascii="宋体" w:hAnsi="宋体"/>
                <w:szCs w:val="21"/>
              </w:rPr>
              <w:t>-8.49</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bl>
    <w:p>
      <w:pPr>
        <w:rPr>
          <w:rFonts w:ascii="宋体" w:hAnsi="宋体"/>
          <w:szCs w:val="21"/>
        </w:rPr>
      </w:pPr>
    </w:p>
    <w:p>
      <w:pPr>
        <w:pStyle w:val="27"/>
        <w:numPr>
          <w:ilvl w:val="0"/>
          <w:numId w:val="3"/>
        </w:numPr>
        <w:ind w:firstLineChars="0"/>
        <w:outlineLvl w:val="1"/>
        <w:rPr>
          <w:rFonts w:ascii="宋体" w:hAnsi="宋体"/>
          <w:szCs w:val="21"/>
        </w:rPr>
      </w:pPr>
      <w:r>
        <w:rPr>
          <w:rFonts w:hint="eastAsia" w:ascii="宋体" w:hAnsi="宋体"/>
          <w:szCs w:val="21"/>
        </w:rPr>
        <w:t>过去三年基金的利润分配情况</w:t>
      </w:r>
    </w:p>
    <w:p>
      <w:pPr>
        <w:jc w:val="right"/>
      </w:pPr>
      <w:r>
        <w:rPr>
          <w:rFonts w:hint="eastAsia"/>
          <w:b/>
          <w:color w:val="FF0000"/>
        </w:rPr>
        <w:t>金额单位：元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957"/>
        <w:gridCol w:w="1718"/>
        <w:gridCol w:w="1732"/>
        <w:gridCol w:w="137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center"/>
              <w:rPr>
                <w:rFonts w:ascii="宋体" w:hAnsi="宋体"/>
                <w:b/>
                <w:szCs w:val="21"/>
              </w:rPr>
            </w:pPr>
            <w:r>
              <w:rPr>
                <w:rFonts w:hint="eastAsia" w:ascii="宋体" w:hAnsi="宋体"/>
                <w:b/>
                <w:szCs w:val="21"/>
              </w:rPr>
              <w:t>年度</w:t>
            </w:r>
          </w:p>
        </w:tc>
        <w:tc>
          <w:tcPr>
            <w:tcW w:w="1148" w:type="pct"/>
            <w:vAlign w:val="center"/>
          </w:tcPr>
          <w:p>
            <w:pPr>
              <w:jc w:val="center"/>
              <w:rPr>
                <w:rFonts w:ascii="宋体" w:hAnsi="宋体"/>
                <w:b/>
                <w:szCs w:val="21"/>
              </w:rPr>
            </w:pPr>
            <w:r>
              <w:rPr>
                <w:rFonts w:hint="eastAsia" w:ascii="宋体" w:hAnsi="宋体"/>
                <w:b/>
                <w:szCs w:val="21"/>
              </w:rPr>
              <w:t>每份基金份额分红数</w:t>
            </w:r>
          </w:p>
        </w:tc>
        <w:tc>
          <w:tcPr>
            <w:tcW w:w="1008" w:type="pct"/>
            <w:vAlign w:val="center"/>
          </w:tcPr>
          <w:p>
            <w:pPr>
              <w:jc w:val="center"/>
              <w:rPr>
                <w:rFonts w:ascii="宋体" w:hAnsi="宋体"/>
                <w:b/>
                <w:szCs w:val="21"/>
              </w:rPr>
            </w:pPr>
            <w:r>
              <w:rPr>
                <w:rFonts w:hint="eastAsia" w:ascii="宋体" w:hAnsi="宋体"/>
                <w:b/>
                <w:szCs w:val="21"/>
              </w:rPr>
              <w:t>现金形式发放总额</w:t>
            </w:r>
          </w:p>
        </w:tc>
        <w:tc>
          <w:tcPr>
            <w:tcW w:w="1016" w:type="pct"/>
            <w:vAlign w:val="center"/>
          </w:tcPr>
          <w:p>
            <w:pPr>
              <w:jc w:val="center"/>
              <w:rPr>
                <w:rFonts w:ascii="宋体" w:hAnsi="宋体"/>
                <w:b/>
                <w:szCs w:val="21"/>
              </w:rPr>
            </w:pPr>
            <w:r>
              <w:rPr>
                <w:rFonts w:hint="eastAsia" w:ascii="宋体" w:hAnsi="宋体"/>
                <w:b/>
                <w:szCs w:val="21"/>
              </w:rPr>
              <w:t>再投资形式发放总额</w:t>
            </w:r>
          </w:p>
        </w:tc>
        <w:tc>
          <w:tcPr>
            <w:tcW w:w="807" w:type="pct"/>
            <w:vAlign w:val="center"/>
          </w:tcPr>
          <w:p>
            <w:pPr>
              <w:jc w:val="center"/>
              <w:rPr>
                <w:rFonts w:ascii="宋体" w:hAnsi="宋体"/>
                <w:b/>
                <w:szCs w:val="21"/>
              </w:rPr>
            </w:pPr>
            <w:r>
              <w:rPr>
                <w:rFonts w:hint="eastAsia" w:ascii="宋体" w:hAnsi="宋体"/>
                <w:b/>
                <w:szCs w:val="21"/>
              </w:rPr>
              <w:t>年度利润分配合计</w:t>
            </w:r>
          </w:p>
        </w:tc>
        <w:tc>
          <w:tcPr>
            <w:tcW w:w="526" w:type="pct"/>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2023</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2022</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2021</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bl>
    <w:p>
      <w:pPr>
        <w:jc w:val="left"/>
        <w:rPr>
          <w:rFonts w:ascii="宋体" w:hAnsi="宋体"/>
          <w:szCs w:val="21"/>
        </w:rPr>
      </w:pPr>
    </w:p>
    <w:p>
      <w:pPr>
        <w:pStyle w:val="2"/>
        <w:numPr>
          <w:ilvl w:val="0"/>
          <w:numId w:val="1"/>
        </w:numPr>
        <w:rPr>
          <w:rFonts w:ascii="宋体" w:hAnsi="宋体"/>
          <w:szCs w:val="21"/>
        </w:rPr>
      </w:pPr>
      <w:bookmarkStart w:id="2" w:name="_Toc445130139"/>
      <w:r>
        <w:rPr>
          <w:rFonts w:hint="eastAsia" w:ascii="宋体" w:hAnsi="宋体"/>
          <w:szCs w:val="21"/>
        </w:rPr>
        <w:t>基金份额变动情况</w:t>
      </w:r>
      <w:bookmarkEnd w:id="2"/>
    </w:p>
    <w:p>
      <w:pPr>
        <w:adjustRightInd w:val="0"/>
        <w:snapToGrid w:val="0"/>
        <w:jc w:val="right"/>
        <w:rPr>
          <w:rFonts w:ascii="宋体" w:hAnsi="宋体"/>
          <w:szCs w:val="21"/>
        </w:rPr>
      </w:pPr>
      <w:r>
        <w:rPr>
          <w:rFonts w:hint="eastAsia" w:ascii="宋体" w:hAnsi="宋体"/>
          <w:b/>
          <w:color w:val="FF0000"/>
          <w:szCs w:val="21"/>
        </w:rPr>
        <w:t>单位：万份/万元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1,071.992707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397"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575.28025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603"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603" w:type="pct"/>
            <w:vAlign w:val="center"/>
          </w:tcPr>
          <w:p>
            <w:pPr>
              <w:adjustRightInd w:val="0"/>
              <w:snapToGrid w:val="0"/>
              <w:jc w:val="right"/>
              <w:rPr>
                <w:rFonts w:ascii="宋体" w:hAnsi="宋体"/>
                <w:kern w:val="0"/>
                <w:szCs w:val="21"/>
              </w:rPr>
            </w:pPr>
            <w:r>
              <w:rPr>
                <w:rFonts w:ascii="宋体" w:hAnsi="宋体"/>
                <w:kern w:val="0"/>
                <w:szCs w:val="21"/>
              </w:rPr>
              <w:t>496.712457</w:t>
            </w:r>
          </w:p>
        </w:tc>
      </w:tr>
    </w:tbl>
    <w:p>
      <w:pPr>
        <w:rPr>
          <w:rFonts w:ascii="宋体" w:hAnsi="宋体"/>
        </w:rPr>
      </w:pPr>
    </w:p>
    <w:p>
      <w:pPr>
        <w:pStyle w:val="2"/>
        <w:numPr>
          <w:ilvl w:val="0"/>
          <w:numId w:val="1"/>
        </w:numPr>
        <w:rPr>
          <w:rFonts w:ascii="宋体" w:hAnsi="宋体"/>
          <w:b w:val="0"/>
          <w:szCs w:val="21"/>
        </w:rPr>
      </w:pPr>
      <w:r>
        <w:rPr>
          <w:rFonts w:hint="eastAsia" w:ascii="宋体" w:hAnsi="宋体"/>
          <w:szCs w:val="21"/>
        </w:rPr>
        <w:t>管理人说明的其他情况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hint="eastAsia" w:ascii="宋体" w:hAnsi="宋体"/>
                <w:szCs w:val="21"/>
                <w:lang w:val="en-US" w:eastAsia="zh-CN"/>
              </w:rPr>
              <w:t>4</w:t>
            </w:r>
            <w:r>
              <w:rPr>
                <w:rFonts w:hint="eastAsia" w:ascii="宋体" w:hAnsi="宋体"/>
                <w:szCs w:val="21"/>
              </w:rPr>
              <w:t>.1 报告期内基金投资决策依据和业绩表现</w:t>
            </w:r>
          </w:p>
          <w:p>
            <w:pPr>
              <w:rPr>
                <w:rFonts w:ascii="宋体" w:hAnsi="宋体"/>
                <w:szCs w:val="21"/>
              </w:rPr>
            </w:pPr>
            <w:r>
              <w:rPr>
                <w:rFonts w:hint="eastAsia" w:ascii="宋体" w:hAnsi="宋体"/>
                <w:szCs w:val="21"/>
              </w:rPr>
              <w:t xml:space="preserve">    本计划投资决策依据：以定量和定性相结合的方式选择和组合子基金，通过多策略分散投资，在严格控制风险的情况下，实现FOF产品的稳健增值。本计划以投资期货和期权策略私募为主。截止202</w:t>
            </w:r>
            <w:r>
              <w:rPr>
                <w:rFonts w:ascii="宋体" w:hAnsi="宋体"/>
                <w:szCs w:val="21"/>
              </w:rPr>
              <w:t>3</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日本基金期末基金单位净值为0.9</w:t>
            </w:r>
            <w:r>
              <w:rPr>
                <w:rFonts w:hint="eastAsia" w:ascii="宋体" w:hAnsi="宋体"/>
                <w:szCs w:val="21"/>
                <w:lang w:val="en-US" w:eastAsia="zh-CN"/>
              </w:rPr>
              <w:t>151</w:t>
            </w:r>
            <w:r>
              <w:rPr>
                <w:rFonts w:hint="eastAsia" w:ascii="宋体" w:hAnsi="宋体"/>
                <w:szCs w:val="21"/>
              </w:rPr>
              <w:t>元，期末基金累计单位净值0.9</w:t>
            </w:r>
            <w:r>
              <w:rPr>
                <w:rFonts w:hint="eastAsia" w:ascii="宋体" w:hAnsi="宋体"/>
                <w:szCs w:val="21"/>
                <w:lang w:val="en-US" w:eastAsia="zh-CN"/>
              </w:rPr>
              <w:t>151</w:t>
            </w:r>
            <w:r>
              <w:rPr>
                <w:rFonts w:hint="eastAsia" w:ascii="宋体" w:hAnsi="宋体"/>
                <w:szCs w:val="21"/>
              </w:rPr>
              <w:t>元。</w:t>
            </w:r>
          </w:p>
          <w:p>
            <w:pPr>
              <w:rPr>
                <w:rFonts w:ascii="宋体" w:hAnsi="宋体"/>
                <w:szCs w:val="21"/>
              </w:rPr>
            </w:pPr>
            <w:r>
              <w:rPr>
                <w:rFonts w:hint="eastAsia" w:ascii="宋体" w:hAnsi="宋体"/>
                <w:szCs w:val="21"/>
                <w:lang w:val="en-US" w:eastAsia="zh-CN"/>
              </w:rPr>
              <w:t>4</w:t>
            </w:r>
            <w:r>
              <w:rPr>
                <w:rFonts w:hint="eastAsia" w:ascii="宋体" w:hAnsi="宋体"/>
                <w:szCs w:val="21"/>
              </w:rPr>
              <w:t>.2 投资经理</w:t>
            </w:r>
          </w:p>
          <w:p>
            <w:pPr>
              <w:ind w:firstLine="420" w:firstLineChars="200"/>
              <w:rPr>
                <w:rFonts w:ascii="宋体" w:hAnsi="宋体"/>
                <w:szCs w:val="21"/>
              </w:rPr>
            </w:pPr>
            <w:r>
              <w:rPr>
                <w:rFonts w:hint="eastAsia" w:ascii="宋体" w:hAnsi="宋体"/>
                <w:szCs w:val="21"/>
              </w:rPr>
              <w:t>本计划投资经理为廉正，期货从业资格编码：F3054039，本计划本报告期内未发生变更。</w:t>
            </w:r>
          </w:p>
          <w:p>
            <w:pPr>
              <w:rPr>
                <w:rFonts w:ascii="宋体" w:hAnsi="宋体"/>
                <w:szCs w:val="21"/>
              </w:rPr>
            </w:pPr>
            <w:r>
              <w:rPr>
                <w:rFonts w:hint="eastAsia" w:ascii="宋体" w:hAnsi="宋体"/>
                <w:szCs w:val="21"/>
              </w:rPr>
              <w:t xml:space="preserve">    投资经理从业经验：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本计划投资经理符合法律法规规定的以下条件：</w:t>
            </w:r>
          </w:p>
          <w:p>
            <w:pPr>
              <w:ind w:firstLine="420" w:firstLineChars="200"/>
              <w:rPr>
                <w:rFonts w:ascii="宋体" w:hAnsi="宋体"/>
                <w:szCs w:val="21"/>
              </w:rPr>
            </w:pPr>
            <w:r>
              <w:rPr>
                <w:rFonts w:hint="eastAsia" w:ascii="宋体" w:hAnsi="宋体"/>
                <w:szCs w:val="21"/>
              </w:rPr>
              <w:t>（1）已取得从业资格；</w:t>
            </w:r>
          </w:p>
          <w:p>
            <w:pPr>
              <w:ind w:firstLine="420" w:firstLineChars="200"/>
              <w:rPr>
                <w:rFonts w:ascii="宋体" w:hAnsi="宋体"/>
                <w:szCs w:val="21"/>
              </w:rPr>
            </w:pPr>
            <w:r>
              <w:rPr>
                <w:rFonts w:hint="eastAsia" w:ascii="宋体" w:hAnsi="宋体"/>
                <w:szCs w:val="21"/>
              </w:rPr>
              <w:t>（2）具有3年以上投资管理、投资研究、投资咨询等相关业务经验；</w:t>
            </w:r>
          </w:p>
          <w:p>
            <w:pPr>
              <w:ind w:firstLine="420" w:firstLineChars="200"/>
              <w:rPr>
                <w:rFonts w:ascii="宋体" w:hAnsi="宋体"/>
                <w:szCs w:val="21"/>
              </w:rPr>
            </w:pPr>
            <w:r>
              <w:rPr>
                <w:rFonts w:hint="eastAsia" w:ascii="宋体" w:hAnsi="宋体"/>
                <w:szCs w:val="21"/>
              </w:rPr>
              <w:t>（3）具有良好的诚信记录及职业操守，且最近3年未被监管机构采取重大行政监管措施、行政处罚。</w:t>
            </w:r>
          </w:p>
          <w:p>
            <w:pPr>
              <w:rPr>
                <w:rFonts w:ascii="宋体" w:hAnsi="宋体"/>
                <w:szCs w:val="21"/>
              </w:rPr>
            </w:pPr>
            <w:r>
              <w:rPr>
                <w:rFonts w:hint="eastAsia" w:ascii="宋体" w:hAnsi="宋体"/>
                <w:szCs w:val="21"/>
                <w:lang w:val="en-US" w:eastAsia="zh-CN"/>
              </w:rPr>
              <w:t>4</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eastAsia" w:ascii="宋体" w:hAnsi="宋体"/>
                <w:szCs w:val="21"/>
                <w:lang w:val="en-US" w:eastAsia="zh-CN"/>
              </w:rPr>
              <w:t>4</w:t>
            </w:r>
            <w:r>
              <w:rPr>
                <w:rFonts w:hint="eastAsia" w:ascii="宋体" w:hAnsi="宋体"/>
                <w:szCs w:val="21"/>
              </w:rPr>
              <w:t>.4 报告期内管理人履职情况</w:t>
            </w:r>
          </w:p>
          <w:p>
            <w:pPr>
              <w:rPr>
                <w:rFonts w:ascii="宋体" w:hAnsi="宋体"/>
                <w:szCs w:val="21"/>
              </w:rPr>
            </w:pPr>
            <w:r>
              <w:rPr>
                <w:rFonts w:hint="eastAsia" w:ascii="宋体" w:hAnsi="宋体"/>
                <w:szCs w:val="21"/>
              </w:rPr>
              <w:t xml:space="preserve">    公司在资产管理业务经营过程中，将严格遵守以下管理人的职责：</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eastAsia" w:ascii="宋体" w:hAnsi="宋体"/>
                <w:szCs w:val="21"/>
                <w:lang w:val="en-US" w:eastAsia="zh-CN"/>
              </w:rPr>
              <w:t>4</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rPr>
                <w:rFonts w:ascii="宋体" w:hAnsi="宋体"/>
                <w:szCs w:val="21"/>
              </w:rPr>
            </w:pPr>
            <w:r>
              <w:rPr>
                <w:rFonts w:hint="eastAsia" w:ascii="宋体" w:hAnsi="宋体"/>
                <w:szCs w:val="21"/>
                <w:lang w:val="en-US" w:eastAsia="zh-CN"/>
              </w:rPr>
              <w:t>4</w:t>
            </w:r>
            <w:r>
              <w:rPr>
                <w:rFonts w:hint="eastAsia" w:ascii="宋体" w:hAnsi="宋体"/>
                <w:szCs w:val="21"/>
              </w:rPr>
              <w:t>.6 报告期内其他说明情况</w:t>
            </w:r>
          </w:p>
          <w:p>
            <w:pPr>
              <w:ind w:firstLine="420" w:firstLineChars="200"/>
              <w:rPr>
                <w:rFonts w:ascii="宋体" w:hAnsi="宋体"/>
              </w:rPr>
            </w:pPr>
            <w:r>
              <w:rPr>
                <w:rFonts w:hint="eastAsia" w:ascii="宋体" w:hAnsi="宋体"/>
                <w:szCs w:val="21"/>
              </w:rPr>
              <w:t>本计划本报告期内未进行利润分配、投资经理未变更、未发生关联交易、未发生损害投资者利益的事件及其他不符合法律法规的事项。公司将继续遵守相关法律法规要求，严格履行管理人职责。</w:t>
            </w:r>
          </w:p>
        </w:tc>
      </w:tr>
    </w:tbl>
    <w:p>
      <w:pPr>
        <w:rPr>
          <w:rFonts w:ascii="宋体" w:hAnsi="宋体"/>
          <w:b/>
          <w:szCs w:val="21"/>
        </w:rPr>
      </w:pPr>
    </w:p>
    <w:p>
      <w:pPr>
        <w:pStyle w:val="2"/>
        <w:numPr>
          <w:ilvl w:val="0"/>
          <w:numId w:val="1"/>
        </w:numPr>
        <w:rPr>
          <w:rFonts w:ascii="宋体" w:hAnsi="宋体"/>
          <w:szCs w:val="21"/>
        </w:rPr>
      </w:pPr>
      <w:bookmarkStart w:id="3" w:name="_Toc445130141"/>
      <w:r>
        <w:rPr>
          <w:rFonts w:hint="eastAsia" w:ascii="宋体" w:hAnsi="宋体"/>
          <w:szCs w:val="21"/>
        </w:rPr>
        <w:t>托管人报告</w:t>
      </w:r>
      <w:bookmarkEnd w:id="3"/>
      <w:r>
        <w:rPr>
          <w:rFonts w:hint="eastAsia" w:ascii="宋体" w:hAnsi="宋体"/>
          <w:szCs w:val="21"/>
        </w:rPr>
        <w:t>（如有）</w:t>
      </w:r>
    </w:p>
    <w:p>
      <w:pPr>
        <w:pStyle w:val="27"/>
        <w:numPr>
          <w:ilvl w:val="0"/>
          <w:numId w:val="4"/>
        </w:numPr>
        <w:ind w:firstLineChars="0"/>
        <w:outlineLvl w:val="1"/>
        <w:rPr>
          <w:rFonts w:ascii="宋体" w:hAnsi="宋体"/>
          <w:szCs w:val="21"/>
        </w:rPr>
      </w:pPr>
      <w:r>
        <w:rPr>
          <w:rFonts w:hint="eastAsia" w:ascii="宋体" w:hAnsi="宋体"/>
          <w:szCs w:val="21"/>
        </w:rPr>
        <w:t>报告期内本基金托管人遵规守信情况声明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托管人在对本基金的托管过程中，严格遵守《证券投资基金法》及其他法律法规、基金合同和托管服务协议的有关规定，不存在任何损害基金投资者利益的行为，完全尽职尽责地履行了托管人应尽的义务。</w:t>
            </w:r>
          </w:p>
        </w:tc>
      </w:tr>
    </w:tbl>
    <w:p>
      <w:pPr>
        <w:rPr>
          <w:rFonts w:ascii="宋体" w:hAnsi="宋体"/>
          <w:szCs w:val="21"/>
        </w:rPr>
      </w:pPr>
    </w:p>
    <w:p>
      <w:pPr>
        <w:pStyle w:val="27"/>
        <w:numPr>
          <w:ilvl w:val="0"/>
          <w:numId w:val="4"/>
        </w:numPr>
        <w:ind w:firstLineChars="0"/>
        <w:outlineLvl w:val="1"/>
        <w:rPr>
          <w:rFonts w:ascii="宋体" w:hAnsi="宋体"/>
          <w:szCs w:val="21"/>
        </w:rPr>
      </w:pPr>
      <w:r>
        <w:rPr>
          <w:rFonts w:hint="eastAsia" w:ascii="宋体" w:hAnsi="宋体"/>
          <w:szCs w:val="21"/>
        </w:rPr>
        <w:t>托管人对报告期内本基金投资运作遵规守信、净值计算、利润分配等情况的说明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rPr>
                <w:rFonts w:ascii="宋体" w:hAnsi="宋体"/>
                <w:szCs w:val="21"/>
              </w:rPr>
            </w:pPr>
            <w:r>
              <w:rPr>
                <w:rFonts w:ascii="宋体" w:hAnsi="宋体"/>
                <w:szCs w:val="21"/>
              </w:rPr>
              <w:t>管理人在本基金的投资运作、基金资产净值计算、利润分配等问题上，未发现明显损害基金投资者利益的行为，在各重要方面的运作严格按照基金合同和托管服务协议的规定进行。</w:t>
            </w:r>
          </w:p>
        </w:tc>
      </w:tr>
    </w:tbl>
    <w:p>
      <w:pPr>
        <w:rPr>
          <w:rFonts w:ascii="宋体" w:hAnsi="宋体"/>
          <w:szCs w:val="21"/>
        </w:rPr>
      </w:pPr>
    </w:p>
    <w:p>
      <w:pPr>
        <w:pStyle w:val="27"/>
        <w:numPr>
          <w:ilvl w:val="0"/>
          <w:numId w:val="4"/>
        </w:numPr>
        <w:ind w:firstLineChars="0"/>
        <w:outlineLvl w:val="1"/>
        <w:rPr>
          <w:rFonts w:ascii="宋体" w:hAnsi="宋体"/>
          <w:szCs w:val="21"/>
        </w:rPr>
      </w:pPr>
      <w:r>
        <w:rPr>
          <w:rFonts w:hint="eastAsia" w:ascii="宋体" w:hAnsi="宋体"/>
          <w:szCs w:val="21"/>
        </w:rPr>
        <w:t>托管人对本年度报告中财务信息等内容的真实、准确和完整发表意见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rPr>
                <w:rFonts w:ascii="宋体" w:hAnsi="宋体"/>
                <w:szCs w:val="21"/>
              </w:rPr>
            </w:pPr>
            <w:r>
              <w:rPr>
                <w:rFonts w:ascii="宋体" w:hAnsi="宋体"/>
                <w:szCs w:val="21"/>
              </w:rPr>
              <w:t>托管人依法对管理人编制和披露的本基金报告中财务指标、净值表现、利润分配情况、财务会计报告、投资组合报告进行了核查，以上内容真实、准确和完整。</w:t>
            </w:r>
          </w:p>
        </w:tc>
      </w:tr>
    </w:tbl>
    <w:p>
      <w:pPr>
        <w:rPr>
          <w:rFonts w:ascii="宋体" w:hAnsi="宋体"/>
          <w:b/>
          <w:szCs w:val="21"/>
        </w:rPr>
      </w:pPr>
    </w:p>
    <w:p>
      <w:pPr>
        <w:pStyle w:val="2"/>
        <w:numPr>
          <w:ilvl w:val="0"/>
          <w:numId w:val="1"/>
        </w:numPr>
        <w:rPr>
          <w:rFonts w:ascii="宋体" w:hAnsi="宋体"/>
          <w:szCs w:val="21"/>
        </w:rPr>
      </w:pPr>
      <w:bookmarkStart w:id="4" w:name="_Toc445130142"/>
      <w:r>
        <w:rPr>
          <w:rFonts w:hint="eastAsia" w:ascii="宋体" w:hAnsi="宋体"/>
          <w:szCs w:val="21"/>
        </w:rPr>
        <w:t>年度财务报表</w:t>
      </w:r>
      <w:bookmarkEnd w:id="4"/>
    </w:p>
    <w:p>
      <w:pPr>
        <w:pStyle w:val="27"/>
        <w:ind w:left="425" w:right="210" w:firstLine="0" w:firstLineChars="0"/>
        <w:jc w:val="right"/>
      </w:pPr>
      <w:r>
        <w:rPr>
          <w:rFonts w:hint="eastAsia"/>
          <w:b/>
          <w:color w:val="FF0000"/>
        </w:rPr>
        <w:t>金额单位：元</w:t>
      </w:r>
    </w:p>
    <w:p>
      <w:pPr>
        <w:pStyle w:val="27"/>
        <w:numPr>
          <w:ilvl w:val="0"/>
          <w:numId w:val="5"/>
        </w:numPr>
        <w:ind w:firstLineChars="0"/>
        <w:outlineLvl w:val="1"/>
        <w:rPr>
          <w:rFonts w:ascii="宋体" w:hAnsi="宋体"/>
          <w:szCs w:val="21"/>
        </w:rPr>
      </w:pPr>
      <w:r>
        <w:rPr>
          <w:rFonts w:hint="eastAsia" w:ascii="宋体" w:hAnsi="宋体"/>
          <w:szCs w:val="21"/>
        </w:rPr>
        <w:t>资产负债表</w:t>
      </w:r>
    </w:p>
    <w:tbl>
      <w:tblPr>
        <w:tblStyle w:val="14"/>
        <w:tblW w:w="5000" w:type="pct"/>
        <w:tblInd w:w="0" w:type="dxa"/>
        <w:tblLayout w:type="autofit"/>
        <w:tblCellMar>
          <w:top w:w="0" w:type="dxa"/>
          <w:left w:w="108" w:type="dxa"/>
          <w:bottom w:w="0" w:type="dxa"/>
          <w:right w:w="108" w:type="dxa"/>
        </w:tblCellMar>
      </w:tblPr>
      <w:tblGrid>
        <w:gridCol w:w="3061"/>
        <w:gridCol w:w="2591"/>
        <w:gridCol w:w="2870"/>
      </w:tblGrid>
      <w:tr>
        <w:tblPrEx>
          <w:tblCellMar>
            <w:top w:w="0" w:type="dxa"/>
            <w:left w:w="108" w:type="dxa"/>
            <w:bottom w:w="0" w:type="dxa"/>
            <w:right w:w="108" w:type="dxa"/>
          </w:tblCellMar>
        </w:tblPrEx>
        <w:trPr>
          <w:trHeight w:val="270" w:hRule="atLeast"/>
        </w:trPr>
        <w:tc>
          <w:tcPr>
            <w:tcW w:w="1796"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资产</w:t>
            </w:r>
          </w:p>
        </w:tc>
        <w:tc>
          <w:tcPr>
            <w:tcW w:w="152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上年度末2022年12月31日</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银行存款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85,938.70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106,191.08</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结算备付金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存出保证金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171,639.36</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171,639.36</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买入返售金融资产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应收股利</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应收申购款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4,295,508.06</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10,035,660.42</w:t>
            </w:r>
          </w:p>
        </w:tc>
      </w:tr>
      <w:tr>
        <w:tblPrEx>
          <w:tblCellMar>
            <w:top w:w="0" w:type="dxa"/>
            <w:left w:w="108" w:type="dxa"/>
            <w:bottom w:w="0" w:type="dxa"/>
            <w:right w:w="108" w:type="dxa"/>
          </w:tblCellMar>
        </w:tblPrEx>
        <w:trPr>
          <w:trHeight w:val="238"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4,553,086.12</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10,141,851.50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负债和所有者权益</w:t>
            </w:r>
          </w:p>
        </w:tc>
        <w:tc>
          <w:tcPr>
            <w:tcW w:w="152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上年度末2022年12月31日</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短期借款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卖出回购金融资产款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应付赎回款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应付管理人报酬</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6,917.39</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15,442.17</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应付托管费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288.18</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643.45</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应付销售服务费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应付交易费用</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应交税费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288.18</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643.45</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7,493.75</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16,729.07</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所有者权益：</w:t>
            </w:r>
          </w:p>
        </w:tc>
        <w:tc>
          <w:tcPr>
            <w:tcW w:w="1520"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实收基金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4,967,124.57</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10,719,927.07</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未分配利润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-421,532.20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-594,804.64</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所有者权益合计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4,545,592.37</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10,125,122.43</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负债和所有者权益总计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4,553,086.12</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10,141,851.50</w:t>
            </w:r>
          </w:p>
        </w:tc>
      </w:tr>
    </w:tbl>
    <w:p>
      <w:pPr>
        <w:pStyle w:val="27"/>
        <w:numPr>
          <w:ilvl w:val="0"/>
          <w:numId w:val="5"/>
        </w:numPr>
        <w:ind w:firstLineChars="0"/>
        <w:outlineLvl w:val="1"/>
        <w:rPr>
          <w:rFonts w:ascii="宋体" w:hAnsi="宋体"/>
          <w:szCs w:val="21"/>
        </w:rPr>
      </w:pPr>
      <w:r>
        <w:rPr>
          <w:rFonts w:hint="eastAsia" w:ascii="宋体" w:hAnsi="宋体"/>
          <w:szCs w:val="21"/>
        </w:rPr>
        <w:t>利润表</w:t>
      </w:r>
    </w:p>
    <w:tbl>
      <w:tblPr>
        <w:tblStyle w:val="14"/>
        <w:tblW w:w="5000" w:type="pct"/>
        <w:tblInd w:w="0" w:type="dxa"/>
        <w:tblLayout w:type="autofit"/>
        <w:tblCellMar>
          <w:top w:w="0" w:type="dxa"/>
          <w:left w:w="108" w:type="dxa"/>
          <w:bottom w:w="0" w:type="dxa"/>
          <w:right w:w="108" w:type="dxa"/>
        </w:tblCellMar>
      </w:tblPr>
      <w:tblGrid>
        <w:gridCol w:w="3085"/>
        <w:gridCol w:w="2553"/>
        <w:gridCol w:w="2884"/>
      </w:tblGrid>
      <w:tr>
        <w:tblPrEx>
          <w:tblCellMar>
            <w:top w:w="0" w:type="dxa"/>
            <w:left w:w="108" w:type="dxa"/>
            <w:bottom w:w="0" w:type="dxa"/>
            <w:right w:w="108" w:type="dxa"/>
          </w:tblCellMar>
        </w:tblPrEx>
        <w:trPr>
          <w:trHeight w:val="270" w:hRule="atLeast"/>
        </w:trPr>
        <w:tc>
          <w:tcPr>
            <w:tcW w:w="181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149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tc>
        <w:tc>
          <w:tcPr>
            <w:tcW w:w="169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tc>
      </w:tr>
      <w:tr>
        <w:tblPrEx>
          <w:tblCellMar>
            <w:top w:w="0" w:type="dxa"/>
            <w:left w:w="108" w:type="dxa"/>
            <w:bottom w:w="0" w:type="dxa"/>
            <w:right w:w="108" w:type="dxa"/>
          </w:tblCellMar>
        </w:tblPrEx>
        <w:trPr>
          <w:trHeight w:val="270" w:hRule="atLeast"/>
        </w:trPr>
        <w:tc>
          <w:tcPr>
            <w:tcW w:w="18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49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2023年1月1日 至 2023年12月31日</w:t>
            </w:r>
          </w:p>
        </w:tc>
        <w:tc>
          <w:tcPr>
            <w:tcW w:w="1692"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2022年1月1日 至 2022年12月31日</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一、收入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-224,734.69</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-1,016,784.94</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1,350.80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3,926.91</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其中：存款利息收入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1,350.80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3,926.91</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买入返售金融资产收入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其他利息收入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2.投资收益（损失以“-”填列）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76,653.24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305,198.42</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衍生工具收益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股利收益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76,653.24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305,198.42</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3.公允价值变动收益</w:t>
            </w:r>
          </w:p>
          <w:p>
            <w:pPr>
              <w:widowControl/>
              <w:jc w:val="left"/>
              <w:rPr>
                <w:rFonts w:ascii="宋体" w:hAnsi="宋体" w:cs="宋体"/>
                <w:kern w:val="0"/>
                <w:szCs w:val="21"/>
              </w:rPr>
            </w:pPr>
            <w:r>
              <w:rPr>
                <w:rFonts w:hint="eastAsia" w:ascii="宋体" w:hAnsi="宋体" w:cs="宋体"/>
                <w:kern w:val="0"/>
                <w:szCs w:val="21"/>
              </w:rPr>
              <w:t>（损失以“-”填列）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195,997.39</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-292,672.59</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4.汇兑收益（损失以“-”填列）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5.其他收入（损失以“-”填列）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-498,736.12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-1,033,237.68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减：二、费用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41,477.00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104,094.34</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1．管理人报酬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33,948.06</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91,471.54</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其中：固定管理费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33,948.06</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91,471.54</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业绩报酬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2．托管费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1,414.47</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3,811.40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3．销售服务费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 外包服务费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1,414.47</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3,811.40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5．交易费用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6．利息支出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其中：卖出回购金融资产支出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7．其他费用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4,700.00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5,000.00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三、利润总额</w:t>
            </w:r>
          </w:p>
          <w:p>
            <w:pPr>
              <w:widowControl/>
              <w:jc w:val="left"/>
              <w:rPr>
                <w:rFonts w:ascii="宋体" w:hAnsi="宋体" w:cs="宋体"/>
                <w:b/>
                <w:bCs/>
                <w:kern w:val="0"/>
                <w:szCs w:val="21"/>
              </w:rPr>
            </w:pPr>
            <w:r>
              <w:rPr>
                <w:rFonts w:hint="eastAsia" w:ascii="宋体" w:hAnsi="宋体" w:cs="宋体"/>
                <w:b/>
                <w:bCs/>
                <w:kern w:val="0"/>
                <w:szCs w:val="21"/>
              </w:rPr>
              <w:t>（亏损总额以“-”号填列）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-266,211.69</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-1,120,879.28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减：所得税费用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四、净利润</w:t>
            </w:r>
          </w:p>
          <w:p>
            <w:pPr>
              <w:widowControl/>
              <w:jc w:val="left"/>
              <w:rPr>
                <w:rFonts w:ascii="宋体" w:hAnsi="宋体" w:cs="宋体"/>
                <w:kern w:val="0"/>
                <w:szCs w:val="21"/>
              </w:rPr>
            </w:pPr>
            <w:r>
              <w:rPr>
                <w:rFonts w:hint="eastAsia" w:ascii="宋体" w:hAnsi="宋体" w:cs="宋体"/>
                <w:kern w:val="0"/>
                <w:szCs w:val="21"/>
              </w:rPr>
              <w:t>（净亏损以“-”号填列）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-266,211.69</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-1,120,879.28</w:t>
            </w:r>
          </w:p>
        </w:tc>
      </w:tr>
    </w:tbl>
    <w:p>
      <w:pPr>
        <w:pStyle w:val="27"/>
        <w:numPr>
          <w:ilvl w:val="0"/>
          <w:numId w:val="5"/>
        </w:numPr>
        <w:ind w:firstLineChars="0"/>
        <w:outlineLvl w:val="1"/>
        <w:rPr>
          <w:rFonts w:ascii="宋体" w:hAnsi="宋体"/>
          <w:szCs w:val="21"/>
        </w:rPr>
      </w:pPr>
      <w:r>
        <w:rPr>
          <w:rFonts w:hint="eastAsia" w:ascii="宋体" w:hAnsi="宋体"/>
          <w:szCs w:val="21"/>
        </w:rPr>
        <w:t>所有者权益变动表</w:t>
      </w:r>
    </w:p>
    <w:tbl>
      <w:tblPr>
        <w:tblStyle w:val="14"/>
        <w:tblW w:w="5000" w:type="pct"/>
        <w:tblInd w:w="0" w:type="dxa"/>
        <w:tblLayout w:type="autofit"/>
        <w:tblCellMar>
          <w:top w:w="0" w:type="dxa"/>
          <w:left w:w="108" w:type="dxa"/>
          <w:bottom w:w="0" w:type="dxa"/>
          <w:right w:w="108" w:type="dxa"/>
        </w:tblCellMar>
      </w:tblPr>
      <w:tblGrid>
        <w:gridCol w:w="3054"/>
        <w:gridCol w:w="2200"/>
        <w:gridCol w:w="1581"/>
        <w:gridCol w:w="1687"/>
      </w:tblGrid>
      <w:tr>
        <w:trPr>
          <w:trHeight w:val="270" w:hRule="atLeast"/>
        </w:trPr>
        <w:tc>
          <w:tcPr>
            <w:tcW w:w="1810"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p>
            <w:pPr>
              <w:widowControl/>
              <w:jc w:val="center"/>
              <w:rPr>
                <w:rFonts w:ascii="宋体" w:hAnsi="宋体" w:cs="宋体"/>
                <w:b/>
                <w:bCs/>
                <w:kern w:val="0"/>
                <w:szCs w:val="21"/>
              </w:rPr>
            </w:pPr>
            <w:r>
              <w:rPr>
                <w:rFonts w:hint="eastAsia" w:ascii="宋体" w:hAnsi="宋体" w:cs="宋体"/>
                <w:b/>
                <w:bCs/>
                <w:kern w:val="0"/>
                <w:szCs w:val="21"/>
              </w:rPr>
              <w:t>2023年1月1日 至 2023年12月31日</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81"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10,719,927.07</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-594,804.64</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10,125,122.43</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-266,211.69</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-266,211.69</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-5,752,802.50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439,484.13</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-5,313,318.37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-5,752,802.50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439,484.13</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-5,313,318.37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4,967,124.57</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-421,532.20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4,545,592.37</w:t>
            </w:r>
          </w:p>
        </w:tc>
      </w:tr>
      <w:tr>
        <w:tblPrEx>
          <w:tblCellMar>
            <w:top w:w="0" w:type="dxa"/>
            <w:left w:w="108" w:type="dxa"/>
            <w:bottom w:w="0" w:type="dxa"/>
            <w:right w:w="108" w:type="dxa"/>
          </w:tblCellMar>
        </w:tblPrEx>
        <w:trPr>
          <w:trHeight w:val="270" w:hRule="atLeast"/>
        </w:trPr>
        <w:tc>
          <w:tcPr>
            <w:tcW w:w="1810" w:type="pct"/>
            <w:vMerge w:val="restart"/>
            <w:tcBorders>
              <w:top w:val="nil"/>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p>
            <w:pPr>
              <w:widowControl/>
              <w:jc w:val="center"/>
              <w:rPr>
                <w:rFonts w:ascii="宋体" w:hAnsi="宋体" w:cs="宋体"/>
                <w:b/>
                <w:bCs/>
                <w:kern w:val="0"/>
                <w:szCs w:val="21"/>
              </w:rPr>
            </w:pPr>
            <w:r>
              <w:rPr>
                <w:rFonts w:hint="eastAsia" w:ascii="宋体" w:hAnsi="宋体" w:cs="宋体"/>
                <w:b/>
                <w:kern w:val="0"/>
                <w:szCs w:val="21"/>
              </w:rPr>
              <w:t>2022年1月1日 至 2022年12月31日</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15"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66"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21,856,928.04</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567,127.93</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22,424,055.97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-1,120,879.28</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-1,120,879.28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-11,137,000.97</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-41,053.29</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-11,178,054.26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cs="宋体"/>
                <w:kern w:val="0"/>
                <w:szCs w:val="21"/>
              </w:rPr>
            </w:pPr>
            <w:r>
              <w:rPr>
                <w:rFonts w:hint="eastAsia" w:ascii="宋体" w:hAnsi="宋体" w:cs="宋体"/>
                <w:kern w:val="0"/>
                <w:szCs w:val="21"/>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-11,137,000.97</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-41,053.29</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-11,178,054.26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10,719,927.07</w:t>
            </w:r>
          </w:p>
        </w:tc>
        <w:tc>
          <w:tcPr>
            <w:tcW w:w="915"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-594,804.64</w:t>
            </w:r>
          </w:p>
        </w:tc>
        <w:tc>
          <w:tcPr>
            <w:tcW w:w="966"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10,125,122.43</w:t>
            </w:r>
          </w:p>
        </w:tc>
      </w:tr>
    </w:tbl>
    <w:p>
      <w:pPr>
        <w:rPr>
          <w:rFonts w:ascii="宋体" w:hAnsi="宋体"/>
          <w:vanish/>
          <w:szCs w:val="21"/>
        </w:rPr>
      </w:pPr>
    </w:p>
    <w:p>
      <w:pPr>
        <w:pStyle w:val="2"/>
        <w:numPr>
          <w:ilvl w:val="0"/>
          <w:numId w:val="1"/>
        </w:numPr>
        <w:rPr>
          <w:rFonts w:ascii="宋体" w:hAnsi="宋体"/>
          <w:szCs w:val="21"/>
        </w:rPr>
      </w:pPr>
      <w:bookmarkStart w:id="5" w:name="_Toc445130143"/>
      <w:r>
        <w:rPr>
          <w:rFonts w:hint="eastAsia" w:ascii="宋体" w:hAnsi="宋体"/>
          <w:szCs w:val="21"/>
        </w:rPr>
        <w:t>期末投资组合情况</w:t>
      </w:r>
      <w:bookmarkEnd w:id="5"/>
    </w:p>
    <w:p>
      <w:pPr>
        <w:pStyle w:val="27"/>
        <w:numPr>
          <w:ilvl w:val="0"/>
          <w:numId w:val="6"/>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4"/>
        <w:tblW w:w="8409" w:type="dxa"/>
        <w:tblInd w:w="113" w:type="dxa"/>
        <w:tblLayout w:type="fixed"/>
        <w:tblCellMar>
          <w:top w:w="0" w:type="dxa"/>
          <w:left w:w="108" w:type="dxa"/>
          <w:bottom w:w="0" w:type="dxa"/>
          <w:right w:w="108" w:type="dxa"/>
        </w:tblCellMar>
      </w:tblPr>
      <w:tblGrid>
        <w:gridCol w:w="2038"/>
        <w:gridCol w:w="1970"/>
        <w:gridCol w:w="4401"/>
      </w:tblGrid>
      <w:tr>
        <w:tblPrEx>
          <w:tblCellMar>
            <w:top w:w="0" w:type="dxa"/>
            <w:left w:w="108" w:type="dxa"/>
            <w:bottom w:w="0" w:type="dxa"/>
            <w:right w:w="108" w:type="dxa"/>
          </w:tblCellMar>
        </w:tblPrEx>
        <w:trPr>
          <w:trHeight w:val="330" w:hRule="atLeast"/>
        </w:trPr>
        <w:tc>
          <w:tcPr>
            <w:tcW w:w="400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4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blPrEx>
          <w:tblCellMar>
            <w:top w:w="0" w:type="dxa"/>
            <w:left w:w="108" w:type="dxa"/>
            <w:bottom w:w="0" w:type="dxa"/>
            <w:right w:w="108" w:type="dxa"/>
          </w:tblCellMar>
        </w:tblPrEx>
        <w:trPr>
          <w:trHeight w:val="330" w:hRule="atLeast"/>
        </w:trPr>
        <w:tc>
          <w:tcPr>
            <w:tcW w:w="203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85,938.70</w:t>
            </w:r>
          </w:p>
        </w:tc>
      </w:tr>
      <w:tr>
        <w:tblPrEx>
          <w:tblCellMar>
            <w:top w:w="0" w:type="dxa"/>
            <w:left w:w="108" w:type="dxa"/>
            <w:bottom w:w="0" w:type="dxa"/>
            <w:right w:w="108" w:type="dxa"/>
          </w:tblCellMar>
        </w:tblPrEx>
        <w:trPr>
          <w:trHeight w:val="330" w:hRule="atLeast"/>
        </w:trPr>
        <w:tc>
          <w:tcPr>
            <w:tcW w:w="2038"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203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171,639.36</w:t>
            </w:r>
          </w:p>
        </w:tc>
      </w:tr>
      <w:tr>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171,639.36</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295</w:t>
            </w:r>
            <w:r>
              <w:rPr>
                <w:rFonts w:hint="eastAsia" w:ascii="宋体" w:hAnsi="宋体"/>
                <w:szCs w:val="21"/>
                <w:lang w:val="en-US" w:eastAsia="zh-CN"/>
              </w:rPr>
              <w:t>,</w:t>
            </w:r>
            <w:r>
              <w:rPr>
                <w:rFonts w:hint="eastAsia" w:ascii="宋体" w:hAnsi="宋体"/>
                <w:szCs w:val="21"/>
              </w:rPr>
              <w:t>508.06</w:t>
            </w:r>
          </w:p>
        </w:tc>
      </w:tr>
      <w:tr>
        <w:tblPrEx>
          <w:tblCellMar>
            <w:top w:w="0" w:type="dxa"/>
            <w:left w:w="108" w:type="dxa"/>
            <w:bottom w:w="0" w:type="dxa"/>
            <w:right w:w="108" w:type="dxa"/>
          </w:tblCellMar>
        </w:tblPrEx>
        <w:trPr>
          <w:trHeight w:val="544"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203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197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440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b/>
          <w:szCs w:val="21"/>
        </w:rPr>
      </w:pPr>
    </w:p>
    <w:p>
      <w:pPr>
        <w:rPr>
          <w:rFonts w:ascii="宋体" w:hAnsi="宋体"/>
          <w:szCs w:val="21"/>
        </w:rPr>
      </w:pPr>
    </w:p>
    <w:p>
      <w:pPr>
        <w:pStyle w:val="27"/>
        <w:numPr>
          <w:ilvl w:val="0"/>
          <w:numId w:val="6"/>
        </w:numPr>
        <w:ind w:firstLineChars="0"/>
        <w:outlineLvl w:val="1"/>
        <w:rPr>
          <w:rFonts w:ascii="宋体" w:hAnsi="宋体"/>
          <w:szCs w:val="21"/>
        </w:rPr>
      </w:pPr>
      <w:r>
        <w:rPr>
          <w:rFonts w:hint="eastAsia" w:ascii="宋体" w:hAnsi="宋体"/>
          <w:szCs w:val="21"/>
        </w:rPr>
        <w:t>报告期末按行业分类的股票投资组合</w:t>
      </w:r>
    </w:p>
    <w:p>
      <w:pPr>
        <w:pStyle w:val="27"/>
        <w:numPr>
          <w:ilvl w:val="0"/>
          <w:numId w:val="7"/>
        </w:numPr>
        <w:ind w:firstLineChars="0"/>
        <w:outlineLvl w:val="2"/>
        <w:rPr>
          <w:rFonts w:ascii="宋体" w:hAnsi="宋体"/>
          <w:szCs w:val="21"/>
        </w:rPr>
      </w:pPr>
      <w:r>
        <w:rPr>
          <w:rFonts w:hint="eastAsia" w:ascii="宋体" w:hAnsi="宋体"/>
          <w:szCs w:val="21"/>
        </w:rPr>
        <w:t>报告期末按行业分类的境内股票投资组合</w:t>
      </w:r>
    </w:p>
    <w:p>
      <w:pPr>
        <w:jc w:val="right"/>
        <w:rPr>
          <w:rFonts w:ascii="宋体" w:hAnsi="宋体"/>
          <w:szCs w:val="21"/>
        </w:rPr>
      </w:pPr>
      <w:r>
        <w:rPr>
          <w:rFonts w:hint="eastAsia" w:ascii="宋体" w:hAnsi="宋体"/>
          <w:b/>
          <w:color w:val="FF0000"/>
          <w:szCs w:val="21"/>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3526"/>
        <w:gridCol w:w="2182"/>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 w:type="pct"/>
            <w:vAlign w:val="center"/>
          </w:tcPr>
          <w:p>
            <w:pPr>
              <w:jc w:val="center"/>
              <w:rPr>
                <w:rFonts w:ascii="宋体" w:hAnsi="宋体"/>
                <w:b/>
                <w:szCs w:val="21"/>
              </w:rPr>
            </w:pPr>
            <w:r>
              <w:rPr>
                <w:rFonts w:hint="eastAsia" w:ascii="宋体" w:hAnsi="宋体"/>
                <w:b/>
                <w:szCs w:val="21"/>
              </w:rPr>
              <w:t>序号</w:t>
            </w:r>
          </w:p>
        </w:tc>
        <w:tc>
          <w:tcPr>
            <w:tcW w:w="2069" w:type="pct"/>
            <w:vAlign w:val="center"/>
          </w:tcPr>
          <w:p>
            <w:pPr>
              <w:jc w:val="center"/>
              <w:rPr>
                <w:rFonts w:ascii="宋体" w:hAnsi="宋体"/>
                <w:b/>
                <w:szCs w:val="21"/>
              </w:rPr>
            </w:pPr>
            <w:r>
              <w:rPr>
                <w:rFonts w:hint="eastAsia" w:ascii="宋体" w:hAnsi="宋体"/>
                <w:b/>
                <w:szCs w:val="21"/>
              </w:rPr>
              <w:t>行业类别</w:t>
            </w:r>
          </w:p>
        </w:tc>
        <w:tc>
          <w:tcPr>
            <w:tcW w:w="1280" w:type="pct"/>
            <w:vAlign w:val="center"/>
          </w:tcPr>
          <w:p>
            <w:pPr>
              <w:jc w:val="center"/>
              <w:rPr>
                <w:rFonts w:ascii="宋体" w:hAnsi="宋体"/>
                <w:b/>
                <w:szCs w:val="21"/>
              </w:rPr>
            </w:pPr>
            <w:r>
              <w:rPr>
                <w:rFonts w:hint="eastAsia" w:ascii="宋体" w:hAnsi="宋体"/>
                <w:b/>
                <w:szCs w:val="21"/>
              </w:rPr>
              <w:t>公允价值</w:t>
            </w:r>
          </w:p>
        </w:tc>
        <w:tc>
          <w:tcPr>
            <w:tcW w:w="1266"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A</w:t>
            </w:r>
          </w:p>
        </w:tc>
        <w:tc>
          <w:tcPr>
            <w:tcW w:w="2069" w:type="pct"/>
            <w:vAlign w:val="center"/>
          </w:tcPr>
          <w:p>
            <w:pPr>
              <w:rPr>
                <w:rFonts w:ascii="宋体" w:hAnsi="宋体"/>
                <w:szCs w:val="21"/>
              </w:rPr>
            </w:pPr>
            <w:r>
              <w:rPr>
                <w:rFonts w:hint="eastAsia" w:ascii="宋体" w:hAnsi="宋体" w:cs="宋体"/>
                <w:kern w:val="0"/>
                <w:szCs w:val="21"/>
              </w:rPr>
              <w:t>农、林、牧、渔业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B</w:t>
            </w:r>
          </w:p>
        </w:tc>
        <w:tc>
          <w:tcPr>
            <w:tcW w:w="2069" w:type="pct"/>
            <w:vAlign w:val="center"/>
          </w:tcPr>
          <w:p>
            <w:pPr>
              <w:rPr>
                <w:rFonts w:ascii="宋体" w:hAnsi="宋体"/>
                <w:szCs w:val="21"/>
              </w:rPr>
            </w:pPr>
            <w:r>
              <w:rPr>
                <w:rFonts w:hint="eastAsia" w:ascii="宋体" w:hAnsi="宋体" w:cs="宋体"/>
                <w:kern w:val="0"/>
                <w:szCs w:val="21"/>
              </w:rPr>
              <w:t>采矿业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C</w:t>
            </w:r>
          </w:p>
        </w:tc>
        <w:tc>
          <w:tcPr>
            <w:tcW w:w="2069" w:type="pct"/>
            <w:vAlign w:val="center"/>
          </w:tcPr>
          <w:p>
            <w:pPr>
              <w:rPr>
                <w:rFonts w:ascii="宋体" w:hAnsi="宋体"/>
                <w:szCs w:val="21"/>
              </w:rPr>
            </w:pPr>
            <w:r>
              <w:rPr>
                <w:rFonts w:hint="eastAsia" w:ascii="宋体" w:hAnsi="宋体" w:cs="宋体"/>
                <w:kern w:val="0"/>
                <w:szCs w:val="21"/>
              </w:rPr>
              <w:t>制造业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D</w:t>
            </w:r>
          </w:p>
        </w:tc>
        <w:tc>
          <w:tcPr>
            <w:tcW w:w="2069" w:type="pct"/>
            <w:vAlign w:val="center"/>
          </w:tcPr>
          <w:p>
            <w:pPr>
              <w:rPr>
                <w:rFonts w:ascii="宋体" w:hAnsi="宋体"/>
                <w:szCs w:val="21"/>
              </w:rPr>
            </w:pPr>
            <w:r>
              <w:rPr>
                <w:rFonts w:hint="eastAsia" w:ascii="宋体" w:hAnsi="宋体" w:cs="宋体"/>
                <w:kern w:val="0"/>
                <w:szCs w:val="21"/>
              </w:rPr>
              <w:t>电力、热力、燃气及水生产和供应业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E</w:t>
            </w:r>
          </w:p>
        </w:tc>
        <w:tc>
          <w:tcPr>
            <w:tcW w:w="2069" w:type="pct"/>
            <w:vAlign w:val="center"/>
          </w:tcPr>
          <w:p>
            <w:pPr>
              <w:rPr>
                <w:rFonts w:ascii="宋体" w:hAnsi="宋体"/>
                <w:szCs w:val="21"/>
              </w:rPr>
            </w:pPr>
            <w:r>
              <w:rPr>
                <w:rFonts w:hint="eastAsia" w:ascii="宋体" w:hAnsi="宋体" w:cs="宋体"/>
                <w:kern w:val="0"/>
                <w:szCs w:val="21"/>
              </w:rPr>
              <w:t>建筑业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F</w:t>
            </w:r>
          </w:p>
        </w:tc>
        <w:tc>
          <w:tcPr>
            <w:tcW w:w="2069" w:type="pct"/>
            <w:vAlign w:val="center"/>
          </w:tcPr>
          <w:p>
            <w:pPr>
              <w:rPr>
                <w:rFonts w:ascii="宋体" w:hAnsi="宋体"/>
                <w:szCs w:val="21"/>
              </w:rPr>
            </w:pPr>
            <w:r>
              <w:rPr>
                <w:rFonts w:hint="eastAsia" w:ascii="宋体" w:hAnsi="宋体" w:cs="宋体"/>
                <w:kern w:val="0"/>
                <w:szCs w:val="21"/>
              </w:rPr>
              <w:t>批发和零售业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G</w:t>
            </w:r>
          </w:p>
        </w:tc>
        <w:tc>
          <w:tcPr>
            <w:tcW w:w="2069" w:type="pct"/>
            <w:vAlign w:val="center"/>
          </w:tcPr>
          <w:p>
            <w:pPr>
              <w:rPr>
                <w:rFonts w:ascii="宋体" w:hAnsi="宋体"/>
                <w:szCs w:val="21"/>
              </w:rPr>
            </w:pPr>
            <w:r>
              <w:rPr>
                <w:rFonts w:hint="eastAsia" w:ascii="宋体" w:hAnsi="宋体" w:cs="宋体"/>
                <w:kern w:val="0"/>
                <w:szCs w:val="21"/>
              </w:rPr>
              <w:t>交通运输、仓储和邮政业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H</w:t>
            </w:r>
          </w:p>
        </w:tc>
        <w:tc>
          <w:tcPr>
            <w:tcW w:w="2069" w:type="pct"/>
            <w:vAlign w:val="center"/>
          </w:tcPr>
          <w:p>
            <w:pPr>
              <w:rPr>
                <w:rFonts w:ascii="宋体" w:hAnsi="宋体" w:cs="宋体"/>
                <w:kern w:val="0"/>
                <w:szCs w:val="21"/>
              </w:rPr>
            </w:pPr>
            <w:r>
              <w:rPr>
                <w:rFonts w:hint="eastAsia" w:ascii="宋体" w:hAnsi="宋体" w:cs="宋体"/>
                <w:kern w:val="0"/>
                <w:szCs w:val="21"/>
              </w:rPr>
              <w:t>住宿和餐饮业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I</w:t>
            </w:r>
          </w:p>
        </w:tc>
        <w:tc>
          <w:tcPr>
            <w:tcW w:w="2069"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J</w:t>
            </w:r>
          </w:p>
        </w:tc>
        <w:tc>
          <w:tcPr>
            <w:tcW w:w="2069" w:type="pct"/>
            <w:vAlign w:val="center"/>
          </w:tcPr>
          <w:p>
            <w:pPr>
              <w:rPr>
                <w:rFonts w:ascii="宋体" w:hAnsi="宋体" w:cs="宋体"/>
                <w:kern w:val="0"/>
                <w:szCs w:val="21"/>
              </w:rPr>
            </w:pPr>
            <w:r>
              <w:rPr>
                <w:rFonts w:hint="eastAsia" w:ascii="宋体" w:hAnsi="宋体" w:cs="宋体"/>
                <w:kern w:val="0"/>
                <w:szCs w:val="21"/>
              </w:rPr>
              <w:t>金融业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K</w:t>
            </w:r>
          </w:p>
        </w:tc>
        <w:tc>
          <w:tcPr>
            <w:tcW w:w="2069" w:type="pct"/>
            <w:vAlign w:val="center"/>
          </w:tcPr>
          <w:p>
            <w:pPr>
              <w:rPr>
                <w:rFonts w:ascii="宋体" w:hAnsi="宋体" w:cs="宋体"/>
                <w:kern w:val="0"/>
                <w:szCs w:val="21"/>
              </w:rPr>
            </w:pPr>
            <w:r>
              <w:rPr>
                <w:rFonts w:hint="eastAsia" w:ascii="宋体" w:hAnsi="宋体" w:cs="宋体"/>
                <w:kern w:val="0"/>
                <w:szCs w:val="21"/>
              </w:rPr>
              <w:t>房地产业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cs="宋体"/>
                <w:kern w:val="0"/>
                <w:szCs w:val="21"/>
              </w:rPr>
            </w:pPr>
            <w:r>
              <w:rPr>
                <w:rFonts w:ascii="宋体" w:hAnsi="宋体" w:cs="宋体"/>
                <w:kern w:val="0"/>
                <w:szCs w:val="21"/>
              </w:rPr>
              <w:t>L</w:t>
            </w:r>
          </w:p>
        </w:tc>
        <w:tc>
          <w:tcPr>
            <w:tcW w:w="2069"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M</w:t>
            </w:r>
          </w:p>
        </w:tc>
        <w:tc>
          <w:tcPr>
            <w:tcW w:w="2069"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N</w:t>
            </w:r>
          </w:p>
        </w:tc>
        <w:tc>
          <w:tcPr>
            <w:tcW w:w="2069"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O</w:t>
            </w:r>
          </w:p>
        </w:tc>
        <w:tc>
          <w:tcPr>
            <w:tcW w:w="2069"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P</w:t>
            </w:r>
          </w:p>
        </w:tc>
        <w:tc>
          <w:tcPr>
            <w:tcW w:w="2069" w:type="pct"/>
            <w:vAlign w:val="center"/>
          </w:tcPr>
          <w:p>
            <w:pPr>
              <w:rPr>
                <w:rFonts w:ascii="宋体" w:hAnsi="宋体" w:cs="宋体"/>
                <w:kern w:val="0"/>
                <w:szCs w:val="21"/>
              </w:rPr>
            </w:pPr>
            <w:r>
              <w:rPr>
                <w:rFonts w:hint="eastAsia" w:ascii="宋体" w:hAnsi="宋体" w:cs="宋体"/>
                <w:kern w:val="0"/>
                <w:szCs w:val="21"/>
              </w:rPr>
              <w:t>教育</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Q</w:t>
            </w:r>
          </w:p>
        </w:tc>
        <w:tc>
          <w:tcPr>
            <w:tcW w:w="2069" w:type="pct"/>
            <w:vAlign w:val="center"/>
          </w:tcPr>
          <w:p>
            <w:pPr>
              <w:rPr>
                <w:rFonts w:ascii="宋体" w:hAnsi="宋体" w:cs="宋体"/>
                <w:kern w:val="0"/>
                <w:szCs w:val="21"/>
              </w:rPr>
            </w:pPr>
            <w:r>
              <w:rPr>
                <w:rFonts w:hint="eastAsia" w:ascii="宋体" w:hAnsi="宋体" w:cs="宋体"/>
                <w:kern w:val="0"/>
                <w:szCs w:val="21"/>
              </w:rPr>
              <w:t>卫生和社会工作</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R</w:t>
            </w:r>
          </w:p>
        </w:tc>
        <w:tc>
          <w:tcPr>
            <w:tcW w:w="2069"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S</w:t>
            </w:r>
          </w:p>
        </w:tc>
        <w:tc>
          <w:tcPr>
            <w:tcW w:w="2069" w:type="pct"/>
            <w:vAlign w:val="center"/>
          </w:tcPr>
          <w:p>
            <w:pPr>
              <w:rPr>
                <w:rFonts w:ascii="宋体" w:hAnsi="宋体" w:cs="宋体"/>
                <w:kern w:val="0"/>
                <w:szCs w:val="21"/>
              </w:rPr>
            </w:pPr>
            <w:r>
              <w:rPr>
                <w:rFonts w:hint="eastAsia" w:ascii="宋体" w:hAnsi="宋体" w:cs="宋体"/>
                <w:kern w:val="0"/>
                <w:szCs w:val="21"/>
              </w:rPr>
              <w:t>综合</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p>
        </w:tc>
        <w:tc>
          <w:tcPr>
            <w:tcW w:w="2069" w:type="pct"/>
            <w:vAlign w:val="center"/>
          </w:tcPr>
          <w:p>
            <w:pPr>
              <w:rPr>
                <w:rFonts w:ascii="宋体" w:hAnsi="宋体" w:cs="宋体"/>
                <w:b/>
                <w:kern w:val="0"/>
                <w:szCs w:val="21"/>
              </w:rPr>
            </w:pPr>
            <w:r>
              <w:rPr>
                <w:rFonts w:hint="eastAsia" w:ascii="宋体" w:hAnsi="宋体" w:cs="宋体"/>
                <w:b/>
                <w:kern w:val="0"/>
                <w:szCs w:val="21"/>
              </w:rPr>
              <w:t>合计</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bl>
    <w:p>
      <w:pPr>
        <w:rPr>
          <w:rFonts w:ascii="宋体" w:hAnsi="宋体"/>
          <w:szCs w:val="21"/>
        </w:rPr>
      </w:pPr>
    </w:p>
    <w:p>
      <w:pPr>
        <w:pStyle w:val="27"/>
        <w:numPr>
          <w:ilvl w:val="0"/>
          <w:numId w:val="7"/>
        </w:numPr>
        <w:ind w:firstLineChars="0"/>
        <w:outlineLvl w:val="2"/>
        <w:rPr>
          <w:rFonts w:ascii="宋体" w:hAnsi="宋体"/>
          <w:szCs w:val="21"/>
        </w:rPr>
      </w:pPr>
      <w:r>
        <w:rPr>
          <w:rFonts w:hint="eastAsia" w:ascii="宋体" w:hAnsi="宋体"/>
          <w:szCs w:val="21"/>
        </w:rPr>
        <w:t>报告期末按行业分类的港股通投资股票投资组合</w:t>
      </w:r>
      <w:r>
        <w:rPr>
          <w:rFonts w:hint="eastAsia"/>
          <w:color w:val="000000"/>
          <w:szCs w:val="21"/>
          <w:shd w:val="clear" w:color="auto" w:fill="FFFFFF"/>
        </w:rPr>
        <w:t>（如有）</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jc w:val="center"/>
              <w:rPr>
                <w:rFonts w:ascii="宋体" w:hAnsi="宋体"/>
              </w:rPr>
            </w:pPr>
            <w:r>
              <w:rPr>
                <w:rFonts w:hint="eastAsia" w:ascii="宋体" w:hAnsi="宋体"/>
              </w:rPr>
              <w:t>行业类别</w:t>
            </w:r>
          </w:p>
        </w:tc>
        <w:tc>
          <w:tcPr>
            <w:tcW w:w="1667" w:type="pct"/>
          </w:tcPr>
          <w:p>
            <w:pPr>
              <w:jc w:val="center"/>
              <w:rPr>
                <w:rFonts w:ascii="宋体" w:hAnsi="宋体"/>
              </w:rPr>
            </w:pPr>
            <w:r>
              <w:rPr>
                <w:rFonts w:hint="eastAsia" w:ascii="宋体" w:hAnsi="宋体"/>
              </w:rPr>
              <w:t>公允价值（人民币）</w:t>
            </w:r>
          </w:p>
        </w:tc>
        <w:tc>
          <w:tcPr>
            <w:tcW w:w="1667" w:type="pct"/>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港股通</w:t>
            </w:r>
          </w:p>
        </w:tc>
        <w:tc>
          <w:tcPr>
            <w:tcW w:w="1667" w:type="pct"/>
          </w:tcPr>
          <w:p>
            <w:pPr>
              <w:jc w:val="right"/>
              <w:rPr>
                <w:rFonts w:ascii="宋体" w:hAnsi="宋体"/>
              </w:rPr>
            </w:pPr>
            <w:r>
              <w:rPr>
                <w:rFonts w:ascii="宋体" w:hAnsi="宋体"/>
              </w:rPr>
              <w:t>0.00</w:t>
            </w:r>
          </w:p>
        </w:tc>
        <w:tc>
          <w:tcPr>
            <w:tcW w:w="1667" w:type="pct"/>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66" w:type="pct"/>
          </w:tcPr>
          <w:p>
            <w:pPr>
              <w:jc w:val="left"/>
              <w:rPr>
                <w:rFonts w:ascii="宋体" w:hAnsi="宋体"/>
              </w:rPr>
            </w:pPr>
            <w:r>
              <w:rPr>
                <w:rFonts w:hint="eastAsia" w:ascii="宋体" w:hAnsi="宋体"/>
              </w:rPr>
              <w:t>合计</w:t>
            </w:r>
          </w:p>
        </w:tc>
        <w:tc>
          <w:tcPr>
            <w:tcW w:w="1667" w:type="pct"/>
          </w:tcPr>
          <w:p>
            <w:pPr>
              <w:jc w:val="right"/>
              <w:rPr>
                <w:rFonts w:ascii="宋体" w:hAnsi="宋体"/>
              </w:rPr>
            </w:pPr>
            <w:r>
              <w:rPr>
                <w:rFonts w:ascii="宋体" w:hAnsi="宋体"/>
              </w:rPr>
              <w:t>0.00</w:t>
            </w:r>
          </w:p>
        </w:tc>
        <w:tc>
          <w:tcPr>
            <w:tcW w:w="1667" w:type="pct"/>
          </w:tcPr>
          <w:p>
            <w:pPr>
              <w:jc w:val="right"/>
              <w:rPr>
                <w:rFonts w:ascii="宋体" w:hAnsi="宋体"/>
              </w:rPr>
            </w:pPr>
            <w:r>
              <w:rPr>
                <w:rFonts w:ascii="宋体" w:hAnsi="宋体"/>
              </w:rPr>
              <w:t>0.00</w:t>
            </w:r>
          </w:p>
        </w:tc>
      </w:tr>
    </w:tbl>
    <w:p>
      <w:pPr>
        <w:rPr>
          <w:rFonts w:ascii="宋体" w:hAnsi="宋体"/>
          <w:szCs w:val="21"/>
        </w:rPr>
      </w:pPr>
    </w:p>
    <w:p>
      <w:pPr>
        <w:pStyle w:val="2"/>
        <w:numPr>
          <w:ilvl w:val="0"/>
          <w:numId w:val="1"/>
        </w:numPr>
        <w:rPr>
          <w:rFonts w:ascii="宋体" w:hAnsi="宋体"/>
          <w:szCs w:val="21"/>
        </w:rPr>
      </w:pPr>
      <w:r>
        <w:rPr>
          <w:rFonts w:hint="eastAsia" w:ascii="宋体" w:hAnsi="宋体"/>
          <w:szCs w:val="21"/>
        </w:rPr>
        <w:t>信息披露报告</w:t>
      </w:r>
    </w:p>
    <w:p>
      <w:r>
        <w:rPr>
          <w:rFonts w:hint="eastAsia"/>
        </w:rPr>
        <w:t>信息</w:t>
      </w:r>
      <w:r>
        <w:t>披露报告是否经托管机构</w:t>
      </w:r>
      <w:r>
        <w:rPr>
          <w:rFonts w:hint="eastAsia"/>
        </w:rPr>
        <w:t>复核：是</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4</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4A54"/>
    <w:multiLevelType w:val="multilevel"/>
    <w:tmpl w:val="01DE4A54"/>
    <w:lvl w:ilvl="0" w:tentative="0">
      <w:start w:val="1"/>
      <w:numFmt w:val="decimal"/>
      <w:lvlText w:val="1.%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4F90498"/>
    <w:multiLevelType w:val="multilevel"/>
    <w:tmpl w:val="04F90498"/>
    <w:lvl w:ilvl="0" w:tentative="0">
      <w:start w:val="1"/>
      <w:numFmt w:val="decimal"/>
      <w:lvlText w:val="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4CF040F"/>
    <w:multiLevelType w:val="multilevel"/>
    <w:tmpl w:val="14CF040F"/>
    <w:lvl w:ilvl="0" w:tentative="0">
      <w:start w:val="1"/>
      <w:numFmt w:val="decimal"/>
      <w:lvlText w:val="7.%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656387F"/>
    <w:multiLevelType w:val="multilevel"/>
    <w:tmpl w:val="3656387F"/>
    <w:lvl w:ilvl="0" w:tentative="0">
      <w:start w:val="1"/>
      <w:numFmt w:val="decimal"/>
      <w:lvlText w:val="5.%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4982E26"/>
    <w:multiLevelType w:val="multilevel"/>
    <w:tmpl w:val="44982E26"/>
    <w:lvl w:ilvl="0" w:tentative="0">
      <w:start w:val="1"/>
      <w:numFmt w:val="decimal"/>
      <w:lvlText w:val="7.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5742ADB"/>
    <w:multiLevelType w:val="multilevel"/>
    <w:tmpl w:val="45742ADB"/>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7C4F399A"/>
    <w:multiLevelType w:val="multilevel"/>
    <w:tmpl w:val="7C4F399A"/>
    <w:lvl w:ilvl="0" w:tentative="0">
      <w:start w:val="1"/>
      <w:numFmt w:val="decimal"/>
      <w:lvlText w:val="6.%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ZWNkYmMyNjI2OTM0Zjg5NDdkZGUwNWY3OWVmNjQifQ=="/>
    <w:docVar w:name="Disclosure_Version" w:val="true"/>
  </w:docVars>
  <w:rsids>
    <w:rsidRoot w:val="00172A27"/>
    <w:rsid w:val="000008F9"/>
    <w:rsid w:val="000012BA"/>
    <w:rsid w:val="0001269E"/>
    <w:rsid w:val="00015D3E"/>
    <w:rsid w:val="00020520"/>
    <w:rsid w:val="00021961"/>
    <w:rsid w:val="000325A5"/>
    <w:rsid w:val="00035DC8"/>
    <w:rsid w:val="00036309"/>
    <w:rsid w:val="00037D33"/>
    <w:rsid w:val="00040E9A"/>
    <w:rsid w:val="00041B2D"/>
    <w:rsid w:val="00046E81"/>
    <w:rsid w:val="00050A1C"/>
    <w:rsid w:val="000537F9"/>
    <w:rsid w:val="00053EA9"/>
    <w:rsid w:val="00061E7A"/>
    <w:rsid w:val="00062C59"/>
    <w:rsid w:val="00067262"/>
    <w:rsid w:val="000705DC"/>
    <w:rsid w:val="000717BB"/>
    <w:rsid w:val="00077EA5"/>
    <w:rsid w:val="000829B3"/>
    <w:rsid w:val="0008323D"/>
    <w:rsid w:val="000842B6"/>
    <w:rsid w:val="00086BF9"/>
    <w:rsid w:val="00087173"/>
    <w:rsid w:val="00091276"/>
    <w:rsid w:val="00093EC0"/>
    <w:rsid w:val="000A1559"/>
    <w:rsid w:val="000A3D47"/>
    <w:rsid w:val="000A4859"/>
    <w:rsid w:val="000A5662"/>
    <w:rsid w:val="000B0231"/>
    <w:rsid w:val="000B1941"/>
    <w:rsid w:val="000B2C52"/>
    <w:rsid w:val="000B408F"/>
    <w:rsid w:val="000B47FB"/>
    <w:rsid w:val="000B65D9"/>
    <w:rsid w:val="000C1135"/>
    <w:rsid w:val="000C1BF6"/>
    <w:rsid w:val="000C1D3E"/>
    <w:rsid w:val="000C29F1"/>
    <w:rsid w:val="000C57B6"/>
    <w:rsid w:val="000C7388"/>
    <w:rsid w:val="000C7FC7"/>
    <w:rsid w:val="000D1E16"/>
    <w:rsid w:val="000D3945"/>
    <w:rsid w:val="000D5F49"/>
    <w:rsid w:val="000D5F97"/>
    <w:rsid w:val="000D77B0"/>
    <w:rsid w:val="000E250B"/>
    <w:rsid w:val="000E308B"/>
    <w:rsid w:val="000E7635"/>
    <w:rsid w:val="000E77AD"/>
    <w:rsid w:val="000F0783"/>
    <w:rsid w:val="000F1729"/>
    <w:rsid w:val="000F4466"/>
    <w:rsid w:val="0010103D"/>
    <w:rsid w:val="00103F57"/>
    <w:rsid w:val="00105ED8"/>
    <w:rsid w:val="001065F0"/>
    <w:rsid w:val="00114BED"/>
    <w:rsid w:val="00114EEA"/>
    <w:rsid w:val="001173B0"/>
    <w:rsid w:val="00121241"/>
    <w:rsid w:val="00122FBF"/>
    <w:rsid w:val="001235BA"/>
    <w:rsid w:val="00125F9C"/>
    <w:rsid w:val="0013013C"/>
    <w:rsid w:val="00131952"/>
    <w:rsid w:val="001346B8"/>
    <w:rsid w:val="00135F79"/>
    <w:rsid w:val="0013710E"/>
    <w:rsid w:val="00147487"/>
    <w:rsid w:val="001474A8"/>
    <w:rsid w:val="001508BC"/>
    <w:rsid w:val="0015186A"/>
    <w:rsid w:val="001532BE"/>
    <w:rsid w:val="001550CA"/>
    <w:rsid w:val="001605D6"/>
    <w:rsid w:val="00160AFC"/>
    <w:rsid w:val="00161171"/>
    <w:rsid w:val="0016423D"/>
    <w:rsid w:val="00165211"/>
    <w:rsid w:val="0016735C"/>
    <w:rsid w:val="00172A27"/>
    <w:rsid w:val="0017316E"/>
    <w:rsid w:val="001765A3"/>
    <w:rsid w:val="00182A85"/>
    <w:rsid w:val="001877F4"/>
    <w:rsid w:val="00196884"/>
    <w:rsid w:val="001A05F6"/>
    <w:rsid w:val="001A3574"/>
    <w:rsid w:val="001A6FA4"/>
    <w:rsid w:val="001A75E5"/>
    <w:rsid w:val="001A7B47"/>
    <w:rsid w:val="001A7DC5"/>
    <w:rsid w:val="001B1348"/>
    <w:rsid w:val="001B3414"/>
    <w:rsid w:val="001B6958"/>
    <w:rsid w:val="001C0514"/>
    <w:rsid w:val="001C0DBE"/>
    <w:rsid w:val="001C2432"/>
    <w:rsid w:val="001C3226"/>
    <w:rsid w:val="001C4F0D"/>
    <w:rsid w:val="001C6C50"/>
    <w:rsid w:val="001C7D1C"/>
    <w:rsid w:val="001D1ED3"/>
    <w:rsid w:val="001D35D9"/>
    <w:rsid w:val="001D5927"/>
    <w:rsid w:val="001D75D8"/>
    <w:rsid w:val="001E3696"/>
    <w:rsid w:val="001E65C1"/>
    <w:rsid w:val="001F1310"/>
    <w:rsid w:val="001F5047"/>
    <w:rsid w:val="00210A0B"/>
    <w:rsid w:val="00211D22"/>
    <w:rsid w:val="0022315A"/>
    <w:rsid w:val="00224373"/>
    <w:rsid w:val="00225995"/>
    <w:rsid w:val="00230FBF"/>
    <w:rsid w:val="00231F05"/>
    <w:rsid w:val="0023351E"/>
    <w:rsid w:val="00233D4E"/>
    <w:rsid w:val="0023641B"/>
    <w:rsid w:val="00237056"/>
    <w:rsid w:val="00240EC7"/>
    <w:rsid w:val="002411B2"/>
    <w:rsid w:val="00250F3D"/>
    <w:rsid w:val="00262021"/>
    <w:rsid w:val="00266393"/>
    <w:rsid w:val="00266BF5"/>
    <w:rsid w:val="002670E6"/>
    <w:rsid w:val="002677F5"/>
    <w:rsid w:val="00275F25"/>
    <w:rsid w:val="002762C1"/>
    <w:rsid w:val="002804F0"/>
    <w:rsid w:val="00283B77"/>
    <w:rsid w:val="0029143C"/>
    <w:rsid w:val="002923ED"/>
    <w:rsid w:val="00292EB0"/>
    <w:rsid w:val="00297A08"/>
    <w:rsid w:val="002A1464"/>
    <w:rsid w:val="002A347A"/>
    <w:rsid w:val="002A3C0E"/>
    <w:rsid w:val="002A59E0"/>
    <w:rsid w:val="002A745E"/>
    <w:rsid w:val="002B0CCD"/>
    <w:rsid w:val="002B29B3"/>
    <w:rsid w:val="002B7CF2"/>
    <w:rsid w:val="002C0785"/>
    <w:rsid w:val="002C2B2D"/>
    <w:rsid w:val="002C429B"/>
    <w:rsid w:val="002C49C6"/>
    <w:rsid w:val="002C5C8D"/>
    <w:rsid w:val="002C7524"/>
    <w:rsid w:val="002D03C8"/>
    <w:rsid w:val="002D0406"/>
    <w:rsid w:val="002D2BE2"/>
    <w:rsid w:val="002D2F50"/>
    <w:rsid w:val="002E076A"/>
    <w:rsid w:val="002F230E"/>
    <w:rsid w:val="002F5F7E"/>
    <w:rsid w:val="0030033E"/>
    <w:rsid w:val="00300AE4"/>
    <w:rsid w:val="003013A0"/>
    <w:rsid w:val="00305EFA"/>
    <w:rsid w:val="00306265"/>
    <w:rsid w:val="0031169D"/>
    <w:rsid w:val="00312020"/>
    <w:rsid w:val="003142CB"/>
    <w:rsid w:val="00321055"/>
    <w:rsid w:val="003218CF"/>
    <w:rsid w:val="003222F9"/>
    <w:rsid w:val="003227EE"/>
    <w:rsid w:val="003260E6"/>
    <w:rsid w:val="00326885"/>
    <w:rsid w:val="003355F9"/>
    <w:rsid w:val="00335E28"/>
    <w:rsid w:val="003366CC"/>
    <w:rsid w:val="003370A1"/>
    <w:rsid w:val="00352B5A"/>
    <w:rsid w:val="00352D47"/>
    <w:rsid w:val="0035492F"/>
    <w:rsid w:val="00355C85"/>
    <w:rsid w:val="0035686C"/>
    <w:rsid w:val="00357663"/>
    <w:rsid w:val="00367F87"/>
    <w:rsid w:val="00372A7B"/>
    <w:rsid w:val="003822DE"/>
    <w:rsid w:val="0038373D"/>
    <w:rsid w:val="00383E21"/>
    <w:rsid w:val="00385D31"/>
    <w:rsid w:val="00386386"/>
    <w:rsid w:val="00393FFC"/>
    <w:rsid w:val="0039552E"/>
    <w:rsid w:val="00396977"/>
    <w:rsid w:val="003A5A52"/>
    <w:rsid w:val="003B3420"/>
    <w:rsid w:val="003B621A"/>
    <w:rsid w:val="003C2B64"/>
    <w:rsid w:val="003C428A"/>
    <w:rsid w:val="003C62E0"/>
    <w:rsid w:val="003C6D46"/>
    <w:rsid w:val="003D6062"/>
    <w:rsid w:val="003E266A"/>
    <w:rsid w:val="003E5CEB"/>
    <w:rsid w:val="003E671B"/>
    <w:rsid w:val="003F0436"/>
    <w:rsid w:val="003F3A4A"/>
    <w:rsid w:val="003F3A98"/>
    <w:rsid w:val="003F730E"/>
    <w:rsid w:val="00400772"/>
    <w:rsid w:val="00403B4B"/>
    <w:rsid w:val="00412073"/>
    <w:rsid w:val="00414B45"/>
    <w:rsid w:val="00420384"/>
    <w:rsid w:val="00420E7C"/>
    <w:rsid w:val="00423F40"/>
    <w:rsid w:val="00425ADA"/>
    <w:rsid w:val="00425AE3"/>
    <w:rsid w:val="00427307"/>
    <w:rsid w:val="0042789D"/>
    <w:rsid w:val="00431394"/>
    <w:rsid w:val="00432385"/>
    <w:rsid w:val="0043364D"/>
    <w:rsid w:val="0044010A"/>
    <w:rsid w:val="00440A24"/>
    <w:rsid w:val="00443F8C"/>
    <w:rsid w:val="00444CAD"/>
    <w:rsid w:val="004470AC"/>
    <w:rsid w:val="0045585B"/>
    <w:rsid w:val="00461FDF"/>
    <w:rsid w:val="004621B7"/>
    <w:rsid w:val="00467DBF"/>
    <w:rsid w:val="00470374"/>
    <w:rsid w:val="004748B0"/>
    <w:rsid w:val="00475454"/>
    <w:rsid w:val="004754C7"/>
    <w:rsid w:val="004813E8"/>
    <w:rsid w:val="00492248"/>
    <w:rsid w:val="004B1543"/>
    <w:rsid w:val="004B228C"/>
    <w:rsid w:val="004B2E2D"/>
    <w:rsid w:val="004B304B"/>
    <w:rsid w:val="004B3E0E"/>
    <w:rsid w:val="004B5C9E"/>
    <w:rsid w:val="004C35CB"/>
    <w:rsid w:val="004C3B83"/>
    <w:rsid w:val="004C60F3"/>
    <w:rsid w:val="004C66A7"/>
    <w:rsid w:val="004C66F1"/>
    <w:rsid w:val="004D216B"/>
    <w:rsid w:val="004D369B"/>
    <w:rsid w:val="004E07BA"/>
    <w:rsid w:val="004E3FA4"/>
    <w:rsid w:val="004E5D59"/>
    <w:rsid w:val="004F025F"/>
    <w:rsid w:val="004F061D"/>
    <w:rsid w:val="004F3C6B"/>
    <w:rsid w:val="00501645"/>
    <w:rsid w:val="00502CB6"/>
    <w:rsid w:val="0050375C"/>
    <w:rsid w:val="00503D66"/>
    <w:rsid w:val="00504137"/>
    <w:rsid w:val="00504E94"/>
    <w:rsid w:val="005050D4"/>
    <w:rsid w:val="00510A05"/>
    <w:rsid w:val="00513441"/>
    <w:rsid w:val="0051417B"/>
    <w:rsid w:val="005151A0"/>
    <w:rsid w:val="00520183"/>
    <w:rsid w:val="00526E1B"/>
    <w:rsid w:val="00534395"/>
    <w:rsid w:val="0053673E"/>
    <w:rsid w:val="0055130B"/>
    <w:rsid w:val="00554154"/>
    <w:rsid w:val="00554947"/>
    <w:rsid w:val="0056009A"/>
    <w:rsid w:val="00560CC5"/>
    <w:rsid w:val="00565BAD"/>
    <w:rsid w:val="005720B4"/>
    <w:rsid w:val="00580AAF"/>
    <w:rsid w:val="00581B47"/>
    <w:rsid w:val="00583A07"/>
    <w:rsid w:val="00587C0A"/>
    <w:rsid w:val="00592050"/>
    <w:rsid w:val="00593464"/>
    <w:rsid w:val="00593B35"/>
    <w:rsid w:val="00594555"/>
    <w:rsid w:val="00594A12"/>
    <w:rsid w:val="00594E30"/>
    <w:rsid w:val="005A1AD1"/>
    <w:rsid w:val="005A2836"/>
    <w:rsid w:val="005A4BA6"/>
    <w:rsid w:val="005A6B1A"/>
    <w:rsid w:val="005A716F"/>
    <w:rsid w:val="005B23CD"/>
    <w:rsid w:val="005B268D"/>
    <w:rsid w:val="005C6DD3"/>
    <w:rsid w:val="005D095E"/>
    <w:rsid w:val="005D2742"/>
    <w:rsid w:val="005D2BC7"/>
    <w:rsid w:val="005D329C"/>
    <w:rsid w:val="005D4C98"/>
    <w:rsid w:val="005D7A5F"/>
    <w:rsid w:val="005E4015"/>
    <w:rsid w:val="005F2DBE"/>
    <w:rsid w:val="006054BA"/>
    <w:rsid w:val="00611E7B"/>
    <w:rsid w:val="00612A98"/>
    <w:rsid w:val="00615DB5"/>
    <w:rsid w:val="00617897"/>
    <w:rsid w:val="00620324"/>
    <w:rsid w:val="006206B8"/>
    <w:rsid w:val="0062209B"/>
    <w:rsid w:val="00622C40"/>
    <w:rsid w:val="00624F15"/>
    <w:rsid w:val="00625CFF"/>
    <w:rsid w:val="00626A37"/>
    <w:rsid w:val="00626EBD"/>
    <w:rsid w:val="00630AED"/>
    <w:rsid w:val="006323EC"/>
    <w:rsid w:val="00633E68"/>
    <w:rsid w:val="00634C95"/>
    <w:rsid w:val="006352BC"/>
    <w:rsid w:val="00643966"/>
    <w:rsid w:val="00647DB1"/>
    <w:rsid w:val="0065504D"/>
    <w:rsid w:val="006620B6"/>
    <w:rsid w:val="00665C67"/>
    <w:rsid w:val="0068192F"/>
    <w:rsid w:val="00681B6C"/>
    <w:rsid w:val="00685E5F"/>
    <w:rsid w:val="0069192B"/>
    <w:rsid w:val="006A1A6E"/>
    <w:rsid w:val="006A672F"/>
    <w:rsid w:val="006A6E41"/>
    <w:rsid w:val="006B1283"/>
    <w:rsid w:val="006B6D2F"/>
    <w:rsid w:val="006C022D"/>
    <w:rsid w:val="006C02A8"/>
    <w:rsid w:val="006C1263"/>
    <w:rsid w:val="006C15A7"/>
    <w:rsid w:val="006C26AE"/>
    <w:rsid w:val="006C733D"/>
    <w:rsid w:val="006D0E43"/>
    <w:rsid w:val="006D2B90"/>
    <w:rsid w:val="006D2ED9"/>
    <w:rsid w:val="006D4DA2"/>
    <w:rsid w:val="006E6F9F"/>
    <w:rsid w:val="006F0EA8"/>
    <w:rsid w:val="006F1EEE"/>
    <w:rsid w:val="006F3194"/>
    <w:rsid w:val="00702611"/>
    <w:rsid w:val="00704554"/>
    <w:rsid w:val="00704755"/>
    <w:rsid w:val="00710AF7"/>
    <w:rsid w:val="007120DD"/>
    <w:rsid w:val="00712818"/>
    <w:rsid w:val="007157A3"/>
    <w:rsid w:val="0071676E"/>
    <w:rsid w:val="00716F13"/>
    <w:rsid w:val="00717D6C"/>
    <w:rsid w:val="007247D2"/>
    <w:rsid w:val="007263BA"/>
    <w:rsid w:val="00731247"/>
    <w:rsid w:val="0073636E"/>
    <w:rsid w:val="0073733C"/>
    <w:rsid w:val="00740516"/>
    <w:rsid w:val="00740DC6"/>
    <w:rsid w:val="007512C4"/>
    <w:rsid w:val="00751FC3"/>
    <w:rsid w:val="00753D48"/>
    <w:rsid w:val="00754AA0"/>
    <w:rsid w:val="00755327"/>
    <w:rsid w:val="00756676"/>
    <w:rsid w:val="00756D53"/>
    <w:rsid w:val="007578ED"/>
    <w:rsid w:val="00760DF3"/>
    <w:rsid w:val="00761254"/>
    <w:rsid w:val="007641AD"/>
    <w:rsid w:val="00765E27"/>
    <w:rsid w:val="00770F10"/>
    <w:rsid w:val="0077206B"/>
    <w:rsid w:val="007729C8"/>
    <w:rsid w:val="00774C9D"/>
    <w:rsid w:val="007825D1"/>
    <w:rsid w:val="00782734"/>
    <w:rsid w:val="007848CE"/>
    <w:rsid w:val="0079424A"/>
    <w:rsid w:val="007948FA"/>
    <w:rsid w:val="00795914"/>
    <w:rsid w:val="007A1A7D"/>
    <w:rsid w:val="007A220B"/>
    <w:rsid w:val="007B0CCC"/>
    <w:rsid w:val="007B30BA"/>
    <w:rsid w:val="007B3F69"/>
    <w:rsid w:val="007B56F6"/>
    <w:rsid w:val="007B7584"/>
    <w:rsid w:val="007C06F4"/>
    <w:rsid w:val="007C0F88"/>
    <w:rsid w:val="007C2BE7"/>
    <w:rsid w:val="007D040C"/>
    <w:rsid w:val="007D2094"/>
    <w:rsid w:val="007D4055"/>
    <w:rsid w:val="007E0403"/>
    <w:rsid w:val="007E0760"/>
    <w:rsid w:val="007E370D"/>
    <w:rsid w:val="007E65EE"/>
    <w:rsid w:val="007E7007"/>
    <w:rsid w:val="007F1B61"/>
    <w:rsid w:val="007F262D"/>
    <w:rsid w:val="007F379D"/>
    <w:rsid w:val="007F56FB"/>
    <w:rsid w:val="00803CD5"/>
    <w:rsid w:val="0080527B"/>
    <w:rsid w:val="00813302"/>
    <w:rsid w:val="0081363D"/>
    <w:rsid w:val="008171C6"/>
    <w:rsid w:val="008176A3"/>
    <w:rsid w:val="00821C00"/>
    <w:rsid w:val="00823381"/>
    <w:rsid w:val="00823E07"/>
    <w:rsid w:val="00824426"/>
    <w:rsid w:val="00825451"/>
    <w:rsid w:val="008272BE"/>
    <w:rsid w:val="00831491"/>
    <w:rsid w:val="008321C0"/>
    <w:rsid w:val="00845CC9"/>
    <w:rsid w:val="008466E5"/>
    <w:rsid w:val="00851F77"/>
    <w:rsid w:val="008536F0"/>
    <w:rsid w:val="00862058"/>
    <w:rsid w:val="00862AC4"/>
    <w:rsid w:val="00863F6E"/>
    <w:rsid w:val="00867B82"/>
    <w:rsid w:val="0087049E"/>
    <w:rsid w:val="00871341"/>
    <w:rsid w:val="00873457"/>
    <w:rsid w:val="00883557"/>
    <w:rsid w:val="008836F6"/>
    <w:rsid w:val="008870E9"/>
    <w:rsid w:val="00887173"/>
    <w:rsid w:val="00887636"/>
    <w:rsid w:val="00887DC3"/>
    <w:rsid w:val="00893205"/>
    <w:rsid w:val="008933AE"/>
    <w:rsid w:val="008962AC"/>
    <w:rsid w:val="008970FB"/>
    <w:rsid w:val="008A0E1E"/>
    <w:rsid w:val="008A13EB"/>
    <w:rsid w:val="008A6871"/>
    <w:rsid w:val="008B2BBC"/>
    <w:rsid w:val="008B52EA"/>
    <w:rsid w:val="008B5E15"/>
    <w:rsid w:val="008C0934"/>
    <w:rsid w:val="008C13C9"/>
    <w:rsid w:val="008C20BD"/>
    <w:rsid w:val="008C5BA9"/>
    <w:rsid w:val="008C6CDC"/>
    <w:rsid w:val="008D1122"/>
    <w:rsid w:val="008D2BB2"/>
    <w:rsid w:val="008E1BF8"/>
    <w:rsid w:val="008E4F6C"/>
    <w:rsid w:val="008E780F"/>
    <w:rsid w:val="008F045D"/>
    <w:rsid w:val="008F0F92"/>
    <w:rsid w:val="008F1EDE"/>
    <w:rsid w:val="008F39F3"/>
    <w:rsid w:val="009007DF"/>
    <w:rsid w:val="009047A0"/>
    <w:rsid w:val="009057B5"/>
    <w:rsid w:val="00905D35"/>
    <w:rsid w:val="00906FCE"/>
    <w:rsid w:val="00907447"/>
    <w:rsid w:val="00907BAB"/>
    <w:rsid w:val="00907F84"/>
    <w:rsid w:val="009106EA"/>
    <w:rsid w:val="009175DE"/>
    <w:rsid w:val="00917D18"/>
    <w:rsid w:val="0092565E"/>
    <w:rsid w:val="009258B3"/>
    <w:rsid w:val="00926868"/>
    <w:rsid w:val="00926885"/>
    <w:rsid w:val="00926F51"/>
    <w:rsid w:val="0093226A"/>
    <w:rsid w:val="00940C12"/>
    <w:rsid w:val="00940C4A"/>
    <w:rsid w:val="009416F7"/>
    <w:rsid w:val="0094493A"/>
    <w:rsid w:val="009453F7"/>
    <w:rsid w:val="00950584"/>
    <w:rsid w:val="009521F8"/>
    <w:rsid w:val="00954D64"/>
    <w:rsid w:val="009550C2"/>
    <w:rsid w:val="009572C3"/>
    <w:rsid w:val="00965098"/>
    <w:rsid w:val="00965FE8"/>
    <w:rsid w:val="009679D0"/>
    <w:rsid w:val="009708B7"/>
    <w:rsid w:val="00971D98"/>
    <w:rsid w:val="0097383D"/>
    <w:rsid w:val="00974A6A"/>
    <w:rsid w:val="00975760"/>
    <w:rsid w:val="00976065"/>
    <w:rsid w:val="00980E37"/>
    <w:rsid w:val="009853D9"/>
    <w:rsid w:val="0098622B"/>
    <w:rsid w:val="009940D1"/>
    <w:rsid w:val="009979CE"/>
    <w:rsid w:val="009A4851"/>
    <w:rsid w:val="009A4F31"/>
    <w:rsid w:val="009A637E"/>
    <w:rsid w:val="009A6EB9"/>
    <w:rsid w:val="009B0795"/>
    <w:rsid w:val="009B0F69"/>
    <w:rsid w:val="009B16E9"/>
    <w:rsid w:val="009B26B7"/>
    <w:rsid w:val="009B2E2C"/>
    <w:rsid w:val="009B32FC"/>
    <w:rsid w:val="009B794B"/>
    <w:rsid w:val="009C36B3"/>
    <w:rsid w:val="009D0409"/>
    <w:rsid w:val="009D249B"/>
    <w:rsid w:val="009D3839"/>
    <w:rsid w:val="009E3F38"/>
    <w:rsid w:val="009E4E22"/>
    <w:rsid w:val="009E5A0D"/>
    <w:rsid w:val="009E67D8"/>
    <w:rsid w:val="009F151D"/>
    <w:rsid w:val="009F3439"/>
    <w:rsid w:val="009F4E66"/>
    <w:rsid w:val="009F5D47"/>
    <w:rsid w:val="00A01111"/>
    <w:rsid w:val="00A0429B"/>
    <w:rsid w:val="00A06EC5"/>
    <w:rsid w:val="00A12226"/>
    <w:rsid w:val="00A13574"/>
    <w:rsid w:val="00A1441E"/>
    <w:rsid w:val="00A15155"/>
    <w:rsid w:val="00A17653"/>
    <w:rsid w:val="00A20854"/>
    <w:rsid w:val="00A23625"/>
    <w:rsid w:val="00A26D80"/>
    <w:rsid w:val="00A27DE4"/>
    <w:rsid w:val="00A27F9C"/>
    <w:rsid w:val="00A302A5"/>
    <w:rsid w:val="00A31605"/>
    <w:rsid w:val="00A31943"/>
    <w:rsid w:val="00A32674"/>
    <w:rsid w:val="00A34F66"/>
    <w:rsid w:val="00A37D4A"/>
    <w:rsid w:val="00A4113E"/>
    <w:rsid w:val="00A4594C"/>
    <w:rsid w:val="00A46F92"/>
    <w:rsid w:val="00A47B36"/>
    <w:rsid w:val="00A51BB3"/>
    <w:rsid w:val="00A52857"/>
    <w:rsid w:val="00A54974"/>
    <w:rsid w:val="00A56B7C"/>
    <w:rsid w:val="00A62FC6"/>
    <w:rsid w:val="00A70D89"/>
    <w:rsid w:val="00A71B9E"/>
    <w:rsid w:val="00A74F07"/>
    <w:rsid w:val="00A80D78"/>
    <w:rsid w:val="00A816EF"/>
    <w:rsid w:val="00A82477"/>
    <w:rsid w:val="00A835E2"/>
    <w:rsid w:val="00A83AFB"/>
    <w:rsid w:val="00A84E11"/>
    <w:rsid w:val="00A85109"/>
    <w:rsid w:val="00A85F8C"/>
    <w:rsid w:val="00A90B78"/>
    <w:rsid w:val="00A91A38"/>
    <w:rsid w:val="00A94142"/>
    <w:rsid w:val="00A9459B"/>
    <w:rsid w:val="00A953BA"/>
    <w:rsid w:val="00A970A6"/>
    <w:rsid w:val="00AA0BA9"/>
    <w:rsid w:val="00AA32F3"/>
    <w:rsid w:val="00AB1555"/>
    <w:rsid w:val="00AB21B0"/>
    <w:rsid w:val="00AC1C74"/>
    <w:rsid w:val="00AC2778"/>
    <w:rsid w:val="00AC2E3E"/>
    <w:rsid w:val="00AC2E5A"/>
    <w:rsid w:val="00AC3DD6"/>
    <w:rsid w:val="00AC51FA"/>
    <w:rsid w:val="00AD366E"/>
    <w:rsid w:val="00AD40DA"/>
    <w:rsid w:val="00AD42CF"/>
    <w:rsid w:val="00AD6F0E"/>
    <w:rsid w:val="00AD7B77"/>
    <w:rsid w:val="00AE0B01"/>
    <w:rsid w:val="00AE126F"/>
    <w:rsid w:val="00AE3457"/>
    <w:rsid w:val="00AE5FD5"/>
    <w:rsid w:val="00AE62C0"/>
    <w:rsid w:val="00AF4F19"/>
    <w:rsid w:val="00B03410"/>
    <w:rsid w:val="00B060D2"/>
    <w:rsid w:val="00B07CB6"/>
    <w:rsid w:val="00B07F26"/>
    <w:rsid w:val="00B101CA"/>
    <w:rsid w:val="00B1130E"/>
    <w:rsid w:val="00B11F9A"/>
    <w:rsid w:val="00B12EB3"/>
    <w:rsid w:val="00B13A6F"/>
    <w:rsid w:val="00B167F8"/>
    <w:rsid w:val="00B16A5D"/>
    <w:rsid w:val="00B2051B"/>
    <w:rsid w:val="00B26ED9"/>
    <w:rsid w:val="00B2787C"/>
    <w:rsid w:val="00B34FBD"/>
    <w:rsid w:val="00B35A52"/>
    <w:rsid w:val="00B36370"/>
    <w:rsid w:val="00B36BA8"/>
    <w:rsid w:val="00B40578"/>
    <w:rsid w:val="00B437C2"/>
    <w:rsid w:val="00B44E9E"/>
    <w:rsid w:val="00B4775B"/>
    <w:rsid w:val="00B50602"/>
    <w:rsid w:val="00B50A38"/>
    <w:rsid w:val="00B54083"/>
    <w:rsid w:val="00B5737D"/>
    <w:rsid w:val="00B701D3"/>
    <w:rsid w:val="00B77AE2"/>
    <w:rsid w:val="00B82455"/>
    <w:rsid w:val="00B83DF4"/>
    <w:rsid w:val="00B83FA0"/>
    <w:rsid w:val="00B840FB"/>
    <w:rsid w:val="00B84C02"/>
    <w:rsid w:val="00B85094"/>
    <w:rsid w:val="00B944FE"/>
    <w:rsid w:val="00B95FF0"/>
    <w:rsid w:val="00BA1778"/>
    <w:rsid w:val="00BA1A6E"/>
    <w:rsid w:val="00BA459F"/>
    <w:rsid w:val="00BA672F"/>
    <w:rsid w:val="00BB44E0"/>
    <w:rsid w:val="00BB5B8C"/>
    <w:rsid w:val="00BC1492"/>
    <w:rsid w:val="00BC24E8"/>
    <w:rsid w:val="00BC7B50"/>
    <w:rsid w:val="00BD0D47"/>
    <w:rsid w:val="00BE079E"/>
    <w:rsid w:val="00BE0A1E"/>
    <w:rsid w:val="00BE1229"/>
    <w:rsid w:val="00BE1F67"/>
    <w:rsid w:val="00BE4086"/>
    <w:rsid w:val="00BE62B1"/>
    <w:rsid w:val="00BF1B6C"/>
    <w:rsid w:val="00BF2AEA"/>
    <w:rsid w:val="00BF2F1B"/>
    <w:rsid w:val="00BF4C2D"/>
    <w:rsid w:val="00BF4F5A"/>
    <w:rsid w:val="00BF5243"/>
    <w:rsid w:val="00C01896"/>
    <w:rsid w:val="00C031B8"/>
    <w:rsid w:val="00C032B7"/>
    <w:rsid w:val="00C06D4C"/>
    <w:rsid w:val="00C10DD2"/>
    <w:rsid w:val="00C11B4D"/>
    <w:rsid w:val="00C14D32"/>
    <w:rsid w:val="00C1591C"/>
    <w:rsid w:val="00C21DB6"/>
    <w:rsid w:val="00C22ECE"/>
    <w:rsid w:val="00C23353"/>
    <w:rsid w:val="00C26F24"/>
    <w:rsid w:val="00C26F38"/>
    <w:rsid w:val="00C2792C"/>
    <w:rsid w:val="00C27973"/>
    <w:rsid w:val="00C33564"/>
    <w:rsid w:val="00C353F3"/>
    <w:rsid w:val="00C36EAC"/>
    <w:rsid w:val="00C4145D"/>
    <w:rsid w:val="00C45075"/>
    <w:rsid w:val="00C454A6"/>
    <w:rsid w:val="00C53AF9"/>
    <w:rsid w:val="00C5546F"/>
    <w:rsid w:val="00C5666D"/>
    <w:rsid w:val="00C579EC"/>
    <w:rsid w:val="00C61084"/>
    <w:rsid w:val="00C71E9C"/>
    <w:rsid w:val="00C761C9"/>
    <w:rsid w:val="00C777B3"/>
    <w:rsid w:val="00C81447"/>
    <w:rsid w:val="00C8419C"/>
    <w:rsid w:val="00C853B2"/>
    <w:rsid w:val="00C91530"/>
    <w:rsid w:val="00C91619"/>
    <w:rsid w:val="00C96292"/>
    <w:rsid w:val="00CA4C42"/>
    <w:rsid w:val="00CB0F4C"/>
    <w:rsid w:val="00CB3B65"/>
    <w:rsid w:val="00CB493F"/>
    <w:rsid w:val="00CB50E8"/>
    <w:rsid w:val="00CB773A"/>
    <w:rsid w:val="00CC66A9"/>
    <w:rsid w:val="00CD4472"/>
    <w:rsid w:val="00CD7FD4"/>
    <w:rsid w:val="00CE18E9"/>
    <w:rsid w:val="00CE2AE1"/>
    <w:rsid w:val="00CE5528"/>
    <w:rsid w:val="00CE69A3"/>
    <w:rsid w:val="00CF0471"/>
    <w:rsid w:val="00CF39D2"/>
    <w:rsid w:val="00D04CAB"/>
    <w:rsid w:val="00D102BC"/>
    <w:rsid w:val="00D108A1"/>
    <w:rsid w:val="00D11933"/>
    <w:rsid w:val="00D12720"/>
    <w:rsid w:val="00D14197"/>
    <w:rsid w:val="00D15476"/>
    <w:rsid w:val="00D16B7D"/>
    <w:rsid w:val="00D16C22"/>
    <w:rsid w:val="00D221DF"/>
    <w:rsid w:val="00D225F5"/>
    <w:rsid w:val="00D2364C"/>
    <w:rsid w:val="00D23DCD"/>
    <w:rsid w:val="00D26FA4"/>
    <w:rsid w:val="00D33F48"/>
    <w:rsid w:val="00D36860"/>
    <w:rsid w:val="00D40DDF"/>
    <w:rsid w:val="00D41C29"/>
    <w:rsid w:val="00D43CFE"/>
    <w:rsid w:val="00D43E65"/>
    <w:rsid w:val="00D46528"/>
    <w:rsid w:val="00D468E0"/>
    <w:rsid w:val="00D47F15"/>
    <w:rsid w:val="00D51004"/>
    <w:rsid w:val="00D54709"/>
    <w:rsid w:val="00D570E0"/>
    <w:rsid w:val="00D57D14"/>
    <w:rsid w:val="00D61C31"/>
    <w:rsid w:val="00D62D18"/>
    <w:rsid w:val="00D65706"/>
    <w:rsid w:val="00D663F3"/>
    <w:rsid w:val="00D72DAF"/>
    <w:rsid w:val="00D73658"/>
    <w:rsid w:val="00D738BA"/>
    <w:rsid w:val="00D73D33"/>
    <w:rsid w:val="00D75EC4"/>
    <w:rsid w:val="00D7627C"/>
    <w:rsid w:val="00D769F0"/>
    <w:rsid w:val="00D809AD"/>
    <w:rsid w:val="00D829E8"/>
    <w:rsid w:val="00D87D00"/>
    <w:rsid w:val="00D93CD9"/>
    <w:rsid w:val="00D94F1C"/>
    <w:rsid w:val="00D96561"/>
    <w:rsid w:val="00DB387C"/>
    <w:rsid w:val="00DB6BBF"/>
    <w:rsid w:val="00DB72B5"/>
    <w:rsid w:val="00DC1A7E"/>
    <w:rsid w:val="00DC2D99"/>
    <w:rsid w:val="00DC5D69"/>
    <w:rsid w:val="00DC691C"/>
    <w:rsid w:val="00DC6DEA"/>
    <w:rsid w:val="00DC7AF4"/>
    <w:rsid w:val="00DD4090"/>
    <w:rsid w:val="00DD4846"/>
    <w:rsid w:val="00DD5B56"/>
    <w:rsid w:val="00DD7270"/>
    <w:rsid w:val="00DE06BE"/>
    <w:rsid w:val="00DE4841"/>
    <w:rsid w:val="00DE4F36"/>
    <w:rsid w:val="00DE5199"/>
    <w:rsid w:val="00DE72B1"/>
    <w:rsid w:val="00DE7FA8"/>
    <w:rsid w:val="00DF114C"/>
    <w:rsid w:val="00DF1EC5"/>
    <w:rsid w:val="00DF24AF"/>
    <w:rsid w:val="00DF31DB"/>
    <w:rsid w:val="00DF7023"/>
    <w:rsid w:val="00DF7693"/>
    <w:rsid w:val="00E0188C"/>
    <w:rsid w:val="00E03050"/>
    <w:rsid w:val="00E03377"/>
    <w:rsid w:val="00E06F5B"/>
    <w:rsid w:val="00E11627"/>
    <w:rsid w:val="00E124C9"/>
    <w:rsid w:val="00E1399F"/>
    <w:rsid w:val="00E23EB7"/>
    <w:rsid w:val="00E42990"/>
    <w:rsid w:val="00E4414E"/>
    <w:rsid w:val="00E44F62"/>
    <w:rsid w:val="00E50E1C"/>
    <w:rsid w:val="00E57AFF"/>
    <w:rsid w:val="00E60AD3"/>
    <w:rsid w:val="00E61DE2"/>
    <w:rsid w:val="00E61E28"/>
    <w:rsid w:val="00E62244"/>
    <w:rsid w:val="00E71155"/>
    <w:rsid w:val="00E747FC"/>
    <w:rsid w:val="00E759DD"/>
    <w:rsid w:val="00E76D17"/>
    <w:rsid w:val="00E80023"/>
    <w:rsid w:val="00E813A2"/>
    <w:rsid w:val="00E82413"/>
    <w:rsid w:val="00E83D58"/>
    <w:rsid w:val="00E83DF7"/>
    <w:rsid w:val="00E963A5"/>
    <w:rsid w:val="00E9781D"/>
    <w:rsid w:val="00E97ECF"/>
    <w:rsid w:val="00EA0519"/>
    <w:rsid w:val="00EA15A7"/>
    <w:rsid w:val="00EA331C"/>
    <w:rsid w:val="00EA624A"/>
    <w:rsid w:val="00EB1DF7"/>
    <w:rsid w:val="00EB381B"/>
    <w:rsid w:val="00EB458F"/>
    <w:rsid w:val="00EB7B02"/>
    <w:rsid w:val="00EC0A5E"/>
    <w:rsid w:val="00EC2455"/>
    <w:rsid w:val="00ED05B6"/>
    <w:rsid w:val="00ED1907"/>
    <w:rsid w:val="00ED4F1C"/>
    <w:rsid w:val="00EE46AA"/>
    <w:rsid w:val="00EE4DAD"/>
    <w:rsid w:val="00EF28DB"/>
    <w:rsid w:val="00EF29B8"/>
    <w:rsid w:val="00EF651C"/>
    <w:rsid w:val="00F00E78"/>
    <w:rsid w:val="00F0486F"/>
    <w:rsid w:val="00F07198"/>
    <w:rsid w:val="00F119AB"/>
    <w:rsid w:val="00F15749"/>
    <w:rsid w:val="00F33766"/>
    <w:rsid w:val="00F45249"/>
    <w:rsid w:val="00F539E6"/>
    <w:rsid w:val="00F556A0"/>
    <w:rsid w:val="00F56974"/>
    <w:rsid w:val="00F57D67"/>
    <w:rsid w:val="00F6060B"/>
    <w:rsid w:val="00F73056"/>
    <w:rsid w:val="00F768D6"/>
    <w:rsid w:val="00F81E93"/>
    <w:rsid w:val="00F84844"/>
    <w:rsid w:val="00F869E4"/>
    <w:rsid w:val="00F91D6E"/>
    <w:rsid w:val="00F96162"/>
    <w:rsid w:val="00FA1236"/>
    <w:rsid w:val="00FA2001"/>
    <w:rsid w:val="00FA3B2E"/>
    <w:rsid w:val="00FA5BBD"/>
    <w:rsid w:val="00FA721A"/>
    <w:rsid w:val="00FA7847"/>
    <w:rsid w:val="00FB072A"/>
    <w:rsid w:val="00FB241E"/>
    <w:rsid w:val="00FB256B"/>
    <w:rsid w:val="00FB3A59"/>
    <w:rsid w:val="00FB3DF7"/>
    <w:rsid w:val="00FB5B6A"/>
    <w:rsid w:val="00FB754B"/>
    <w:rsid w:val="00FC58BD"/>
    <w:rsid w:val="00FD1886"/>
    <w:rsid w:val="00FE1041"/>
    <w:rsid w:val="00FE25B9"/>
    <w:rsid w:val="00FE6E69"/>
    <w:rsid w:val="00FF0289"/>
    <w:rsid w:val="00FF0B7D"/>
    <w:rsid w:val="00FF16D9"/>
    <w:rsid w:val="00FF4729"/>
    <w:rsid w:val="00FF54DB"/>
    <w:rsid w:val="078C256C"/>
    <w:rsid w:val="0D62400C"/>
    <w:rsid w:val="17FD6593"/>
    <w:rsid w:val="26B441B9"/>
    <w:rsid w:val="2E01453C"/>
    <w:rsid w:val="2F27396C"/>
    <w:rsid w:val="304255D3"/>
    <w:rsid w:val="3530398E"/>
    <w:rsid w:val="44DA7109"/>
    <w:rsid w:val="4E16517A"/>
    <w:rsid w:val="5AEB2ABA"/>
    <w:rsid w:val="61FF00B8"/>
    <w:rsid w:val="659859E1"/>
    <w:rsid w:val="7E437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
    <w:pPr>
      <w:keepNext/>
      <w:keepLines/>
      <w:spacing w:before="120" w:after="120" w:line="360" w:lineRule="auto"/>
      <w:outlineLvl w:val="0"/>
    </w:pPr>
    <w:rPr>
      <w:b/>
      <w:bCs/>
      <w:kern w:val="44"/>
      <w:szCs w:val="44"/>
    </w:rPr>
  </w:style>
  <w:style w:type="paragraph" w:styleId="3">
    <w:name w:val="heading 6"/>
    <w:basedOn w:val="1"/>
    <w:next w:val="1"/>
    <w:link w:val="21"/>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4"/>
    <w:semiHidden/>
    <w:unhideWhenUsed/>
    <w:qFormat/>
    <w:uiPriority w:val="9"/>
    <w:pPr>
      <w:keepNext/>
      <w:keepLines/>
      <w:spacing w:before="240" w:after="64" w:line="320" w:lineRule="auto"/>
      <w:outlineLvl w:val="6"/>
    </w:pPr>
    <w:rPr>
      <w:b/>
      <w:bCs/>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99"/>
    <w:pPr>
      <w:jc w:val="left"/>
    </w:pPr>
  </w:style>
  <w:style w:type="paragraph" w:styleId="6">
    <w:name w:val="Balloon Text"/>
    <w:basedOn w:val="1"/>
    <w:link w:val="26"/>
    <w:semiHidden/>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style>
  <w:style w:type="paragraph" w:styleId="10">
    <w:name w:val="footnote text"/>
    <w:basedOn w:val="1"/>
    <w:link w:val="28"/>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Title"/>
    <w:basedOn w:val="1"/>
    <w:next w:val="1"/>
    <w:link w:val="32"/>
    <w:qFormat/>
    <w:uiPriority w:val="10"/>
    <w:pPr>
      <w:spacing w:before="240" w:after="60"/>
      <w:jc w:val="center"/>
      <w:outlineLvl w:val="0"/>
    </w:pPr>
    <w:rPr>
      <w:rFonts w:asciiTheme="majorHAnsi" w:hAnsiTheme="majorHAnsi" w:cstheme="majorBidi"/>
      <w:b/>
      <w:bCs/>
      <w:sz w:val="32"/>
      <w:szCs w:val="32"/>
    </w:rPr>
  </w:style>
  <w:style w:type="paragraph" w:styleId="13">
    <w:name w:val="annotation subject"/>
    <w:basedOn w:val="5"/>
    <w:next w:val="5"/>
    <w:link w:val="30"/>
    <w:semiHidden/>
    <w:unhideWhenUsed/>
    <w:qFormat/>
    <w:uiPriority w:val="99"/>
    <w:rPr>
      <w:b/>
      <w:bCs/>
    </w:rPr>
  </w:style>
  <w:style w:type="table" w:styleId="15">
    <w:name w:val="Table Grid"/>
    <w:basedOn w:val="14"/>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semiHidden/>
    <w:unhideWhenUsed/>
    <w:qFormat/>
    <w:uiPriority w:val="99"/>
    <w:rPr>
      <w:sz w:val="21"/>
      <w:szCs w:val="21"/>
    </w:rPr>
  </w:style>
  <w:style w:type="character" w:styleId="19">
    <w:name w:val="footnote reference"/>
    <w:qFormat/>
    <w:uiPriority w:val="0"/>
    <w:rPr>
      <w:vertAlign w:val="superscript"/>
    </w:rPr>
  </w:style>
  <w:style w:type="table" w:customStyle="1" w:styleId="20">
    <w:name w:val="网格型1"/>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6 Char"/>
    <w:link w:val="3"/>
    <w:qFormat/>
    <w:uiPriority w:val="9"/>
    <w:rPr>
      <w:rFonts w:ascii="Cambria" w:hAnsi="Cambria"/>
      <w:b/>
      <w:bCs/>
      <w:kern w:val="2"/>
      <w:sz w:val="24"/>
      <w:szCs w:val="24"/>
    </w:rPr>
  </w:style>
  <w:style w:type="table" w:customStyle="1" w:styleId="22">
    <w:name w:val="网格型2"/>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1 Char"/>
    <w:link w:val="2"/>
    <w:qFormat/>
    <w:uiPriority w:val="9"/>
    <w:rPr>
      <w:b/>
      <w:bCs/>
      <w:kern w:val="44"/>
      <w:sz w:val="21"/>
      <w:szCs w:val="44"/>
    </w:rPr>
  </w:style>
  <w:style w:type="character" w:customStyle="1" w:styleId="24">
    <w:name w:val="标题 7 Char"/>
    <w:link w:val="4"/>
    <w:semiHidden/>
    <w:qFormat/>
    <w:uiPriority w:val="9"/>
    <w:rPr>
      <w:b/>
      <w:bCs/>
      <w:kern w:val="2"/>
      <w:sz w:val="24"/>
      <w:szCs w:val="24"/>
    </w:rPr>
  </w:style>
  <w:style w:type="character" w:customStyle="1" w:styleId="25">
    <w:name w:val="页脚 Char"/>
    <w:link w:val="7"/>
    <w:uiPriority w:val="99"/>
    <w:rPr>
      <w:kern w:val="2"/>
      <w:sz w:val="18"/>
    </w:rPr>
  </w:style>
  <w:style w:type="character" w:customStyle="1" w:styleId="26">
    <w:name w:val="批注框文本 Char"/>
    <w:link w:val="6"/>
    <w:semiHidden/>
    <w:qFormat/>
    <w:uiPriority w:val="99"/>
    <w:rPr>
      <w:kern w:val="2"/>
      <w:sz w:val="18"/>
      <w:szCs w:val="18"/>
    </w:rPr>
  </w:style>
  <w:style w:type="paragraph" w:styleId="27">
    <w:name w:val="List Paragraph"/>
    <w:basedOn w:val="1"/>
    <w:qFormat/>
    <w:uiPriority w:val="99"/>
    <w:pPr>
      <w:ind w:firstLine="420" w:firstLineChars="200"/>
    </w:pPr>
  </w:style>
  <w:style w:type="character" w:customStyle="1" w:styleId="28">
    <w:name w:val="脚注文本 Char"/>
    <w:link w:val="10"/>
    <w:semiHidden/>
    <w:qFormat/>
    <w:uiPriority w:val="99"/>
    <w:rPr>
      <w:kern w:val="2"/>
      <w:sz w:val="18"/>
      <w:szCs w:val="18"/>
    </w:rPr>
  </w:style>
  <w:style w:type="character" w:customStyle="1" w:styleId="29">
    <w:name w:val="批注文字 Char"/>
    <w:link w:val="5"/>
    <w:semiHidden/>
    <w:qFormat/>
    <w:uiPriority w:val="99"/>
    <w:rPr>
      <w:kern w:val="2"/>
      <w:sz w:val="21"/>
    </w:rPr>
  </w:style>
  <w:style w:type="character" w:customStyle="1" w:styleId="30">
    <w:name w:val="批注主题 Char"/>
    <w:link w:val="13"/>
    <w:semiHidden/>
    <w:qFormat/>
    <w:uiPriority w:val="99"/>
    <w:rPr>
      <w:b/>
      <w:bCs/>
      <w:kern w:val="2"/>
      <w:sz w:val="21"/>
    </w:rPr>
  </w:style>
  <w:style w:type="character" w:styleId="31">
    <w:name w:val="Placeholder Text"/>
    <w:basedOn w:val="16"/>
    <w:unhideWhenUsed/>
    <w:qFormat/>
    <w:uiPriority w:val="99"/>
    <w:rPr>
      <w:color w:val="auto"/>
    </w:rPr>
  </w:style>
  <w:style w:type="character" w:customStyle="1" w:styleId="32">
    <w:name w:val="标题 Char"/>
    <w:basedOn w:val="16"/>
    <w:link w:val="12"/>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E4BC3-B75C-4F82-8A16-378D092DC675}">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5483</Words>
  <Characters>2553</Characters>
  <Lines>21</Lines>
  <Paragraphs>16</Paragraphs>
  <TotalTime>38</TotalTime>
  <ScaleCrop>false</ScaleCrop>
  <LinksUpToDate>false</LinksUpToDate>
  <CharactersWithSpaces>8020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2024-02-28T07:38:00Z</dcterms:created>
  <dc:creator>wfy</dc:creator>
  <cp:lastModifiedBy>孙雯</cp:lastModifiedBy>
  <dcterms:modified xsi:type="dcterms:W3CDTF">2024-03-15T08:08:07Z</dcterms:modified>
  <dc:title>证券投资基金信息披露报表</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B4DE2ECE1CBF4ACCA62236924F7C8BEF</vt:lpwstr>
  </property>
</Properties>
</file>