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5E" w:rsidRDefault="007D515E" w:rsidP="007D515E">
      <w:pPr>
        <w:adjustRightInd w:val="0"/>
        <w:snapToGrid w:val="0"/>
        <w:spacing w:line="580" w:lineRule="exact"/>
        <w:jc w:val="center"/>
        <w:rPr>
          <w:rFonts w:ascii="宋体" w:hAnsi="宋体"/>
          <w:b/>
          <w:sz w:val="44"/>
          <w:szCs w:val="44"/>
          <w:shd w:val="clear" w:color="auto" w:fill="FFFFFF"/>
        </w:rPr>
      </w:pPr>
      <w:bookmarkStart w:id="0" w:name="_GoBack"/>
      <w:bookmarkEnd w:id="0"/>
      <w:r>
        <w:rPr>
          <w:rFonts w:ascii="宋体" w:hAnsi="宋体" w:hint="eastAsia"/>
          <w:b/>
          <w:sz w:val="44"/>
          <w:szCs w:val="44"/>
          <w:shd w:val="clear" w:color="auto" w:fill="FFFFFF"/>
        </w:rPr>
        <w:t>关于实际控制关系账户投机持仓合并计算</w:t>
      </w:r>
    </w:p>
    <w:p w:rsidR="007D515E" w:rsidRDefault="007D515E" w:rsidP="007D515E">
      <w:pPr>
        <w:adjustRightInd w:val="0"/>
        <w:snapToGrid w:val="0"/>
        <w:spacing w:line="580" w:lineRule="exact"/>
        <w:jc w:val="center"/>
        <w:rPr>
          <w:rFonts w:ascii="宋体" w:hAnsi="宋体" w:hint="eastAsia"/>
          <w:b/>
          <w:sz w:val="44"/>
          <w:szCs w:val="44"/>
          <w:shd w:val="clear" w:color="auto" w:fill="FFFFFF"/>
        </w:rPr>
      </w:pPr>
      <w:r>
        <w:rPr>
          <w:rFonts w:ascii="宋体" w:hAnsi="宋体" w:hint="eastAsia"/>
          <w:b/>
          <w:sz w:val="44"/>
          <w:szCs w:val="44"/>
          <w:shd w:val="clear" w:color="auto" w:fill="FFFFFF"/>
        </w:rPr>
        <w:t>相关规则的通知修正案</w:t>
      </w:r>
    </w:p>
    <w:p w:rsidR="007D515E" w:rsidRDefault="007D515E" w:rsidP="007D515E">
      <w:pPr>
        <w:pStyle w:val="a6"/>
        <w:adjustRightInd w:val="0"/>
        <w:snapToGrid w:val="0"/>
        <w:spacing w:before="0" w:beforeAutospacing="0" w:after="0" w:afterAutospacing="0" w:line="580" w:lineRule="exact"/>
        <w:ind w:firstLine="645"/>
        <w:rPr>
          <w:rFonts w:ascii="仿宋_GB2312" w:eastAsia="仿宋_GB2312" w:hAnsi="等线" w:hint="eastAsia"/>
          <w:color w:val="000000"/>
          <w:sz w:val="32"/>
          <w:szCs w:val="32"/>
          <w:lang w:eastAsia="zh-CN"/>
        </w:rPr>
      </w:pPr>
    </w:p>
    <w:p w:rsidR="007D515E" w:rsidRDefault="007D515E" w:rsidP="007D515E">
      <w:pPr>
        <w:pStyle w:val="a6"/>
        <w:adjustRightInd w:val="0"/>
        <w:snapToGrid w:val="0"/>
        <w:spacing w:before="0" w:beforeAutospacing="0" w:after="0" w:afterAutospacing="0" w:line="580" w:lineRule="exact"/>
        <w:ind w:firstLine="645"/>
        <w:rPr>
          <w:rFonts w:ascii="仿宋_GB2312" w:eastAsia="仿宋_GB2312" w:hAnsi="等线" w:hint="eastAsia"/>
          <w:color w:val="000000"/>
          <w:sz w:val="32"/>
          <w:szCs w:val="32"/>
          <w:lang w:eastAsia="zh-CN"/>
        </w:rPr>
      </w:pPr>
      <w:r>
        <w:rPr>
          <w:rFonts w:ascii="仿宋_GB2312" w:eastAsia="仿宋_GB2312" w:hAnsi="等线" w:hint="eastAsia"/>
          <w:color w:val="000000"/>
          <w:sz w:val="32"/>
          <w:szCs w:val="32"/>
          <w:lang w:eastAsia="zh-CN"/>
        </w:rPr>
        <w:t xml:space="preserve">一、实际控制关系账户投机持仓合并计算规则 </w:t>
      </w:r>
      <w:r>
        <w:rPr>
          <w:rFonts w:ascii="仿宋_GB2312" w:eastAsia="仿宋_GB2312" w:hAnsi="等线" w:hint="eastAsia"/>
          <w:color w:val="000000"/>
          <w:sz w:val="32"/>
          <w:szCs w:val="32"/>
          <w:lang w:eastAsia="zh-CN"/>
        </w:rPr>
        <w:br/>
        <w:t xml:space="preserve">　　1．实际控制关系账户投机持仓合并计算</w:t>
      </w:r>
      <w:r>
        <w:rPr>
          <w:rFonts w:ascii="仿宋_GB2312" w:eastAsia="仿宋_GB2312" w:hAnsi="等线" w:hint="eastAsia"/>
          <w:dstrike/>
          <w:color w:val="000000"/>
          <w:sz w:val="32"/>
          <w:szCs w:val="32"/>
          <w:lang w:eastAsia="zh-CN"/>
        </w:rPr>
        <w:t>，套期保值持仓不合并计算</w:t>
      </w:r>
      <w:r>
        <w:rPr>
          <w:rFonts w:ascii="仿宋_GB2312" w:eastAsia="仿宋_GB2312" w:hAnsi="等线" w:hint="eastAsia"/>
          <w:color w:val="000000"/>
          <w:sz w:val="32"/>
          <w:szCs w:val="32"/>
          <w:lang w:eastAsia="zh-CN"/>
        </w:rPr>
        <w:t>。</w:t>
      </w:r>
    </w:p>
    <w:p w:rsidR="007D515E" w:rsidRDefault="007D515E" w:rsidP="007D515E">
      <w:pPr>
        <w:adjustRightInd w:val="0"/>
        <w:snapToGrid w:val="0"/>
        <w:spacing w:line="580" w:lineRule="exact"/>
        <w:jc w:val="left"/>
        <w:rPr>
          <w:rFonts w:ascii="仿宋_GB2312" w:eastAsia="仿宋_GB2312" w:hint="eastAsia"/>
          <w:sz w:val="32"/>
          <w:szCs w:val="32"/>
        </w:rPr>
      </w:pPr>
    </w:p>
    <w:p w:rsidR="007D515E" w:rsidRDefault="007D515E" w:rsidP="007D515E">
      <w:pPr>
        <w:pStyle w:val="a6"/>
        <w:adjustRightInd w:val="0"/>
        <w:snapToGrid w:val="0"/>
        <w:spacing w:before="0" w:beforeAutospacing="0" w:after="0" w:afterAutospacing="0" w:line="580" w:lineRule="exact"/>
        <w:ind w:firstLineChars="200" w:firstLine="480"/>
        <w:rPr>
          <w:rFonts w:ascii="仿宋_GB2312" w:eastAsia="仿宋_GB2312" w:hint="eastAsia"/>
          <w:color w:val="000000"/>
          <w:lang w:eastAsia="zh-CN"/>
        </w:rPr>
      </w:pPr>
      <w:r>
        <w:rPr>
          <w:rFonts w:ascii="仿宋_GB2312" w:eastAsia="仿宋_GB2312" w:hint="eastAsia"/>
          <w:color w:val="000000"/>
          <w:lang w:eastAsia="zh-CN"/>
        </w:rPr>
        <w:t>注：双划线部分为删除内容。</w:t>
      </w:r>
    </w:p>
    <w:p w:rsidR="007D515E" w:rsidRPr="001E72E5" w:rsidRDefault="007D515E" w:rsidP="007D515E">
      <w:pPr>
        <w:rPr>
          <w:rFonts w:ascii="仿宋_GB2312" w:eastAsia="仿宋_GB2312" w:hAnsi="Times New Roman" w:hint="eastAsia"/>
          <w:color w:val="000000"/>
        </w:rPr>
      </w:pPr>
      <w:r>
        <w:rPr>
          <w:rFonts w:ascii="仿宋_GB2312" w:eastAsia="仿宋_GB2312" w:hAnsi="Times New Roman" w:hint="eastAsia"/>
          <w:color w:val="000000"/>
          <w:kern w:val="0"/>
        </w:rPr>
        <w:br w:type="page"/>
      </w:r>
    </w:p>
    <w:p w:rsidR="007D515E" w:rsidRDefault="007D515E" w:rsidP="007D515E">
      <w:pPr>
        <w:jc w:val="center"/>
        <w:rPr>
          <w:rFonts w:ascii="宋体" w:hAnsi="宋体"/>
          <w:b/>
          <w:sz w:val="44"/>
          <w:szCs w:val="44"/>
          <w:shd w:val="clear" w:color="auto" w:fill="FFFFFF"/>
        </w:rPr>
      </w:pPr>
      <w:r>
        <w:rPr>
          <w:rFonts w:ascii="宋体" w:hAnsi="宋体" w:hint="eastAsia"/>
          <w:b/>
          <w:sz w:val="44"/>
          <w:szCs w:val="44"/>
          <w:shd w:val="clear" w:color="auto" w:fill="FFFFFF"/>
        </w:rPr>
        <w:lastRenderedPageBreak/>
        <w:t>关于实际控制关系账户投机持仓合并计算</w:t>
      </w:r>
    </w:p>
    <w:p w:rsidR="007D515E" w:rsidRDefault="007D515E" w:rsidP="007D515E">
      <w:pPr>
        <w:jc w:val="center"/>
        <w:rPr>
          <w:rFonts w:ascii="宋体" w:hAnsi="宋体" w:hint="eastAsia"/>
          <w:b/>
          <w:sz w:val="44"/>
          <w:szCs w:val="44"/>
          <w:shd w:val="clear" w:color="auto" w:fill="FFFFFF"/>
        </w:rPr>
      </w:pPr>
      <w:r>
        <w:rPr>
          <w:rFonts w:ascii="宋体" w:hAnsi="宋体" w:hint="eastAsia"/>
          <w:b/>
          <w:sz w:val="44"/>
          <w:szCs w:val="44"/>
          <w:shd w:val="clear" w:color="auto" w:fill="FFFFFF"/>
        </w:rPr>
        <w:t>相关规则的通知（修订稿）</w:t>
      </w:r>
    </w:p>
    <w:p w:rsidR="007D515E" w:rsidRDefault="007D515E" w:rsidP="007D515E">
      <w:pPr>
        <w:jc w:val="center"/>
        <w:rPr>
          <w:rFonts w:ascii="宋体" w:hAnsi="宋体" w:hint="eastAsia"/>
          <w:b/>
          <w:sz w:val="44"/>
          <w:szCs w:val="44"/>
          <w:shd w:val="clear" w:color="auto" w:fill="FFFFFF"/>
        </w:rPr>
      </w:pPr>
    </w:p>
    <w:p w:rsidR="007D515E" w:rsidRDefault="007D515E" w:rsidP="007D515E">
      <w:pPr>
        <w:rPr>
          <w:rFonts w:ascii="仿宋_GB2312" w:eastAsia="仿宋_GB2312" w:hAnsi="等线" w:hint="eastAsia"/>
          <w:sz w:val="32"/>
          <w:szCs w:val="32"/>
        </w:rPr>
      </w:pPr>
      <w:r>
        <w:rPr>
          <w:rFonts w:hint="eastAsia"/>
          <w:sz w:val="32"/>
          <w:szCs w:val="32"/>
        </w:rPr>
        <w:t xml:space="preserve">　</w:t>
      </w:r>
      <w:r>
        <w:rPr>
          <w:rFonts w:hint="eastAsia"/>
          <w:sz w:val="32"/>
          <w:szCs w:val="32"/>
        </w:rPr>
        <w:t xml:space="preserve">  </w:t>
      </w:r>
      <w:r>
        <w:rPr>
          <w:rFonts w:ascii="仿宋_GB2312" w:eastAsia="仿宋_GB2312" w:hint="eastAsia"/>
          <w:sz w:val="32"/>
          <w:szCs w:val="32"/>
        </w:rPr>
        <w:t>为加强对实际控制关系账户的监管，维护市场运行秩序，现将实际控制关系账户投机持仓合并计算和强行平仓规则通知如下：</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一、实际控制关系账户投机持仓合并计算规则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1．实际控制关系账户投机持仓合并计算。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2．全部由客户构成的实际控制关系账户合并计算的投机持仓量，不得超过单个客户的投机持仓限额；包含非期货公司会员的实际控制关系账户合并计算的投机持仓量，不得超过</w:t>
      </w:r>
      <w:proofErr w:type="gramStart"/>
      <w:r>
        <w:rPr>
          <w:rFonts w:ascii="仿宋_GB2312" w:eastAsia="仿宋_GB2312" w:hint="eastAsia"/>
          <w:sz w:val="32"/>
          <w:szCs w:val="32"/>
        </w:rPr>
        <w:t>单个非</w:t>
      </w:r>
      <w:proofErr w:type="gramEnd"/>
      <w:r>
        <w:rPr>
          <w:rFonts w:ascii="仿宋_GB2312" w:eastAsia="仿宋_GB2312" w:hint="eastAsia"/>
          <w:sz w:val="32"/>
          <w:szCs w:val="32"/>
        </w:rPr>
        <w:t xml:space="preserve">期货公司会员的投机持仓限额。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二、由交易所执行的强行平仓规则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1．实际控制关系账户合并计算的投机持仓量超出其限仓规定的，交易所将于下一交易日按有关规定执行强行平仓。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2．若实际控制关系账户合并计算的投机持仓超仓，交易所按上一个交易日结算时实际控制关系账户中客户或者非期货公司会员持仓量由大到小的顺序强行平仓。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3．若客户或者非期货公司会员投机持仓超仓，同时其实际控制关系账户合并计算的投机持仓超仓，交易所先</w:t>
      </w:r>
      <w:proofErr w:type="gramStart"/>
      <w:r>
        <w:rPr>
          <w:rFonts w:ascii="仿宋_GB2312" w:eastAsia="仿宋_GB2312" w:hint="eastAsia"/>
          <w:sz w:val="32"/>
          <w:szCs w:val="32"/>
        </w:rPr>
        <w:t>对超仓的</w:t>
      </w:r>
      <w:proofErr w:type="gramEnd"/>
      <w:r>
        <w:rPr>
          <w:rFonts w:ascii="仿宋_GB2312" w:eastAsia="仿宋_GB2312" w:hint="eastAsia"/>
          <w:sz w:val="32"/>
          <w:szCs w:val="32"/>
        </w:rPr>
        <w:t>客户或者非期货公司会员投机持仓强行平仓，再对其实际控制关</w:t>
      </w:r>
      <w:r>
        <w:rPr>
          <w:rFonts w:ascii="仿宋_GB2312" w:eastAsia="仿宋_GB2312" w:hint="eastAsia"/>
          <w:sz w:val="32"/>
          <w:szCs w:val="32"/>
        </w:rPr>
        <w:lastRenderedPageBreak/>
        <w:t xml:space="preserve">系账户投机持仓强行平仓。 </w:t>
      </w:r>
    </w:p>
    <w:p w:rsidR="007D515E" w:rsidRDefault="007D515E" w:rsidP="007D515E">
      <w:pPr>
        <w:rPr>
          <w:rFonts w:ascii="仿宋_GB2312" w:eastAsia="仿宋_GB2312" w:hint="eastAsia"/>
          <w:sz w:val="32"/>
          <w:szCs w:val="32"/>
        </w:rPr>
      </w:pPr>
      <w:r>
        <w:rPr>
          <w:rFonts w:ascii="仿宋_GB2312" w:eastAsia="仿宋_GB2312" w:hint="eastAsia"/>
          <w:sz w:val="32"/>
          <w:szCs w:val="32"/>
        </w:rPr>
        <w:t xml:space="preserve">　　三、上述规则自2011年5月16日起施行。</w:t>
      </w:r>
    </w:p>
    <w:p w:rsidR="007D515E" w:rsidRDefault="007D515E" w:rsidP="007D515E">
      <w:pPr>
        <w:ind w:firstLine="645"/>
        <w:rPr>
          <w:rFonts w:ascii="仿宋_GB2312" w:eastAsia="仿宋_GB2312"/>
          <w:sz w:val="32"/>
          <w:szCs w:val="32"/>
        </w:rPr>
      </w:pPr>
      <w:r>
        <w:rPr>
          <w:rFonts w:ascii="仿宋_GB2312" w:eastAsia="仿宋_GB2312" w:hint="eastAsia"/>
          <w:sz w:val="32"/>
          <w:szCs w:val="32"/>
        </w:rPr>
        <w:t>特此通知。</w:t>
      </w:r>
    </w:p>
    <w:p w:rsidR="007D515E" w:rsidRDefault="007D515E" w:rsidP="007D515E">
      <w:pPr>
        <w:ind w:firstLine="645"/>
        <w:rPr>
          <w:rFonts w:ascii="仿宋_GB2312" w:eastAsia="仿宋_GB2312" w:hint="eastAsia"/>
          <w:sz w:val="32"/>
          <w:szCs w:val="32"/>
        </w:rPr>
      </w:pPr>
    </w:p>
    <w:p w:rsidR="007D515E" w:rsidRDefault="007D515E" w:rsidP="007D515E">
      <w:pPr>
        <w:jc w:val="right"/>
        <w:rPr>
          <w:rFonts w:ascii="仿宋_GB2312" w:eastAsia="仿宋_GB2312" w:hint="eastAsia"/>
          <w:sz w:val="32"/>
          <w:szCs w:val="32"/>
        </w:rPr>
      </w:pPr>
      <w:r>
        <w:rPr>
          <w:rFonts w:ascii="仿宋_GB2312" w:eastAsia="仿宋_GB2312" w:hint="eastAsia"/>
          <w:sz w:val="32"/>
          <w:szCs w:val="32"/>
        </w:rPr>
        <w:t>大连商品交易所</w:t>
      </w:r>
    </w:p>
    <w:p w:rsidR="007D515E" w:rsidRDefault="007D515E" w:rsidP="007D515E">
      <w:pPr>
        <w:jc w:val="right"/>
        <w:rPr>
          <w:rFonts w:ascii="仿宋_GB2312" w:eastAsia="仿宋_GB2312" w:hint="eastAsia"/>
          <w:sz w:val="32"/>
          <w:szCs w:val="32"/>
        </w:rPr>
      </w:pPr>
      <w:r>
        <w:rPr>
          <w:rFonts w:ascii="仿宋_GB2312" w:eastAsia="仿宋_GB2312" w:hint="eastAsia"/>
          <w:sz w:val="32"/>
          <w:szCs w:val="32"/>
        </w:rPr>
        <w:t>2011年5月4日</w:t>
      </w:r>
    </w:p>
    <w:p w:rsidR="00576E33" w:rsidRDefault="00576E33"/>
    <w:sectPr w:rsidR="00576E33" w:rsidSect="006B027F">
      <w:footerReference w:type="even" r:id="rId4"/>
      <w:footerReference w:type="default" r:id="rId5"/>
      <w:pgSz w:w="11906" w:h="16838"/>
      <w:pgMar w:top="2098" w:right="1588" w:bottom="1718" w:left="1588" w:header="851" w:footer="1389"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D70BBD" w:rsidP="00ED0444">
    <w:pPr>
      <w:pStyle w:val="a5"/>
      <w:framePr w:wrap="around" w:vAnchor="text" w:hAnchor="page" w:x="1576" w:y="-193"/>
    </w:pPr>
    <w:r>
      <w:rPr>
        <w:rStyle w:val="a3"/>
        <w:rFonts w:ascii="宋体" w:hAnsi="宋体" w:cs="Times New Roman" w:hint="eastAsia"/>
        <w:sz w:val="28"/>
        <w:szCs w:val="28"/>
      </w:rPr>
      <w:t>—</w:t>
    </w:r>
    <w:r>
      <w:rPr>
        <w:rStyle w:val="a3"/>
        <w:rFonts w:ascii="宋体" w:hAnsi="宋体" w:cs="Times New Roman" w:hint="eastAsia"/>
        <w:sz w:val="28"/>
        <w:szCs w:val="28"/>
      </w:rPr>
      <w:t xml:space="preserve"> </w:t>
    </w:r>
    <w:r>
      <w:rPr>
        <w:rFonts w:ascii="Times New Roman" w:hAnsi="Times New Roman" w:cs="Times New Roman"/>
        <w:sz w:val="28"/>
        <w:szCs w:val="28"/>
      </w:rPr>
      <w:fldChar w:fldCharType="begin"/>
    </w:r>
    <w:r>
      <w:rPr>
        <w:rStyle w:val="a3"/>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3"/>
        <w:rFonts w:ascii="Times New Roman" w:hAnsi="Times New Roman" w:cs="Times New Roman"/>
        <w:noProof/>
        <w:sz w:val="28"/>
        <w:szCs w:val="28"/>
      </w:rPr>
      <w:t>4</w:t>
    </w:r>
    <w:r>
      <w:rPr>
        <w:rFonts w:ascii="Times New Roman" w:hAnsi="Times New Roman" w:cs="Times New Roman"/>
        <w:sz w:val="28"/>
        <w:szCs w:val="28"/>
      </w:rPr>
      <w:fldChar w:fldCharType="end"/>
    </w:r>
    <w:r>
      <w:rPr>
        <w:rStyle w:val="a3"/>
        <w:rFonts w:ascii="Times New Roman" w:hAnsi="Times New Roman" w:cs="Times New Roman" w:hint="eastAsia"/>
        <w:sz w:val="28"/>
        <w:szCs w:val="28"/>
      </w:rPr>
      <w:t xml:space="preserve"> </w:t>
    </w:r>
    <w:r>
      <w:rPr>
        <w:rStyle w:val="a3"/>
        <w:rFonts w:ascii="宋体" w:hAnsi="宋体" w:cs="Times New Roman"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59" w:rsidRDefault="00D70BBD">
    <w:pPr>
      <w:pStyle w:val="a5"/>
      <w:framePr w:wrap="around" w:vAnchor="text" w:hAnchor="margin" w:xAlign="outside" w:y="1"/>
      <w:rPr>
        <w:rStyle w:val="a3"/>
        <w:rFonts w:ascii="Times New Roman" w:hAnsi="Times New Roman" w:cs="Times New Roman"/>
        <w:sz w:val="28"/>
        <w:szCs w:val="28"/>
      </w:rPr>
    </w:pPr>
    <w:r>
      <w:rPr>
        <w:rStyle w:val="a3"/>
        <w:rFonts w:ascii="宋体" w:hAnsi="宋体" w:cs="Times New Roman" w:hint="eastAsia"/>
        <w:sz w:val="28"/>
        <w:szCs w:val="28"/>
      </w:rPr>
      <w:t>—</w:t>
    </w:r>
    <w:r>
      <w:rPr>
        <w:rStyle w:val="a3"/>
        <w:rFonts w:ascii="宋体" w:hAnsi="宋体" w:cs="Times New Roman" w:hint="eastAsia"/>
        <w:sz w:val="28"/>
        <w:szCs w:val="28"/>
      </w:rPr>
      <w:t xml:space="preserve"> </w:t>
    </w:r>
    <w:r>
      <w:rPr>
        <w:rFonts w:ascii="Times New Roman" w:hAnsi="Times New Roman" w:cs="Times New Roman"/>
        <w:sz w:val="28"/>
        <w:szCs w:val="28"/>
      </w:rPr>
      <w:fldChar w:fldCharType="begin"/>
    </w:r>
    <w:r>
      <w:rPr>
        <w:rStyle w:val="a3"/>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a3"/>
        <w:rFonts w:ascii="Times New Roman" w:hAnsi="Times New Roman" w:cs="Times New Roman"/>
        <w:noProof/>
        <w:sz w:val="28"/>
        <w:szCs w:val="28"/>
      </w:rPr>
      <w:t>1</w:t>
    </w:r>
    <w:r>
      <w:rPr>
        <w:rFonts w:ascii="Times New Roman" w:hAnsi="Times New Roman" w:cs="Times New Roman"/>
        <w:sz w:val="28"/>
        <w:szCs w:val="28"/>
      </w:rPr>
      <w:fldChar w:fldCharType="end"/>
    </w:r>
    <w:r>
      <w:rPr>
        <w:rStyle w:val="a3"/>
        <w:rFonts w:ascii="Times New Roman" w:hAnsi="Times New Roman" w:cs="Times New Roman" w:hint="eastAsia"/>
        <w:sz w:val="28"/>
        <w:szCs w:val="28"/>
      </w:rPr>
      <w:t xml:space="preserve"> </w:t>
    </w:r>
    <w:r>
      <w:rPr>
        <w:rStyle w:val="a3"/>
        <w:rFonts w:ascii="宋体" w:hAnsi="宋体" w:cs="Times New Roman" w:hint="eastAsia"/>
        <w:sz w:val="28"/>
        <w:szCs w:val="28"/>
      </w:rPr>
      <w:t>—</w:t>
    </w:r>
  </w:p>
  <w:p w:rsidR="00620059" w:rsidRDefault="00D70BBD"/>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5E"/>
    <w:rsid w:val="00442C5C"/>
    <w:rsid w:val="00576E33"/>
    <w:rsid w:val="007D515E"/>
    <w:rsid w:val="00D7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1FB0D-CC38-45E4-9D99-A13894E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5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D515E"/>
  </w:style>
  <w:style w:type="character" w:customStyle="1" w:styleId="a4">
    <w:name w:val="页脚 字符"/>
    <w:link w:val="a5"/>
    <w:uiPriority w:val="99"/>
    <w:locked/>
    <w:rsid w:val="007D515E"/>
    <w:rPr>
      <w:rFonts w:ascii="Calibri" w:eastAsia="宋体" w:hAnsi="Calibri" w:cs="Calibri"/>
      <w:sz w:val="18"/>
      <w:szCs w:val="18"/>
    </w:rPr>
  </w:style>
  <w:style w:type="paragraph" w:styleId="a5">
    <w:name w:val="footer"/>
    <w:basedOn w:val="a"/>
    <w:link w:val="a4"/>
    <w:uiPriority w:val="99"/>
    <w:rsid w:val="007D515E"/>
    <w:pPr>
      <w:tabs>
        <w:tab w:val="center" w:pos="4153"/>
        <w:tab w:val="right" w:pos="8306"/>
      </w:tabs>
      <w:snapToGrid w:val="0"/>
      <w:jc w:val="left"/>
    </w:pPr>
    <w:rPr>
      <w:sz w:val="18"/>
      <w:szCs w:val="18"/>
    </w:rPr>
  </w:style>
  <w:style w:type="character" w:customStyle="1" w:styleId="1">
    <w:name w:val="页脚 字符1"/>
    <w:basedOn w:val="a0"/>
    <w:uiPriority w:val="99"/>
    <w:semiHidden/>
    <w:rsid w:val="007D515E"/>
    <w:rPr>
      <w:rFonts w:ascii="Calibri" w:eastAsia="宋体" w:hAnsi="Calibri" w:cs="Calibri"/>
      <w:sz w:val="18"/>
      <w:szCs w:val="18"/>
    </w:rPr>
  </w:style>
  <w:style w:type="paragraph" w:styleId="a6">
    <w:name w:val="Normal (Web)"/>
    <w:basedOn w:val="a"/>
    <w:uiPriority w:val="99"/>
    <w:rsid w:val="007D515E"/>
    <w:pPr>
      <w:widowControl/>
      <w:spacing w:before="100" w:beforeAutospacing="1" w:after="100" w:afterAutospacing="1"/>
      <w:jc w:val="left"/>
    </w:pPr>
    <w:rPr>
      <w:rFonts w:ascii="Times New Roman" w:eastAsia="Batang"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321</Characters>
  <Application>Microsoft Office Word</Application>
  <DocSecurity>0</DocSecurity>
  <Lines>16</Lines>
  <Paragraphs>9</Paragraphs>
  <ScaleCrop>false</ScaleCrop>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曹丹</dc:creator>
  <cp:keywords/>
  <dc:description/>
  <cp:lastModifiedBy>曹丹</cp:lastModifiedBy>
  <cp:revision>2</cp:revision>
  <dcterms:created xsi:type="dcterms:W3CDTF">2018-04-13T06:41:00Z</dcterms:created>
  <dcterms:modified xsi:type="dcterms:W3CDTF">2018-04-13T06:42:00Z</dcterms:modified>
</cp:coreProperties>
</file>